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585" w:rsidRPr="009457A9" w:rsidRDefault="00AD5585" w:rsidP="00AD5585">
      <w:pPr>
        <w:spacing w:after="120" w:line="240" w:lineRule="auto"/>
        <w:jc w:val="both"/>
        <w:rPr>
          <w:rFonts w:ascii="Arial" w:hAnsi="Arial" w:cs="Arial"/>
          <w:b/>
          <w:sz w:val="20"/>
          <w:szCs w:val="20"/>
        </w:rPr>
      </w:pPr>
    </w:p>
    <w:p w:rsidR="00AD5585" w:rsidRPr="009457A9" w:rsidRDefault="00AD5585" w:rsidP="00AD5585">
      <w:pPr>
        <w:spacing w:after="120" w:line="240" w:lineRule="auto"/>
        <w:jc w:val="both"/>
        <w:rPr>
          <w:rFonts w:ascii="Arial" w:hAnsi="Arial" w:cs="Arial"/>
          <w:b/>
          <w:sz w:val="20"/>
          <w:szCs w:val="20"/>
        </w:rPr>
      </w:pPr>
      <w:r w:rsidRPr="009457A9">
        <w:rPr>
          <w:rFonts w:ascii="Arial" w:hAnsi="Arial" w:cs="Arial"/>
          <w:b/>
          <w:sz w:val="20"/>
          <w:szCs w:val="20"/>
        </w:rPr>
        <w:t>LISA 2</w:t>
      </w:r>
      <w:r>
        <w:rPr>
          <w:rFonts w:ascii="Arial" w:hAnsi="Arial" w:cs="Arial"/>
          <w:b/>
          <w:sz w:val="20"/>
          <w:szCs w:val="20"/>
        </w:rPr>
        <w:t>.</w:t>
      </w:r>
      <w:r w:rsidRPr="009457A9">
        <w:rPr>
          <w:rFonts w:ascii="Arial" w:hAnsi="Arial" w:cs="Arial"/>
          <w:b/>
          <w:sz w:val="20"/>
          <w:szCs w:val="20"/>
        </w:rPr>
        <w:t xml:space="preserve"> Kostja vastuse vorm tsiviilkohtumenetluses</w:t>
      </w:r>
    </w:p>
    <w:p w:rsidR="00AD5585" w:rsidRPr="009457A9" w:rsidRDefault="00AD5585" w:rsidP="00AD5585">
      <w:pPr>
        <w:spacing w:after="120" w:line="240"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4644"/>
        <w:gridCol w:w="4644"/>
      </w:tblGrid>
      <w:tr w:rsidR="00AD5585" w:rsidRPr="009457A9" w:rsidTr="008D7637">
        <w:tc>
          <w:tcPr>
            <w:tcW w:w="4705" w:type="dxa"/>
          </w:tcPr>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Harju Maakohus</w:t>
            </w:r>
          </w:p>
        </w:tc>
        <w:tc>
          <w:tcPr>
            <w:tcW w:w="4705" w:type="dxa"/>
          </w:tcPr>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Tsiviilasi nr ..</w:t>
            </w:r>
          </w:p>
        </w:tc>
      </w:tr>
    </w:tbl>
    <w:p w:rsidR="00AD5585" w:rsidRPr="009457A9" w:rsidRDefault="00AD5585" w:rsidP="00AD5585">
      <w:pPr>
        <w:pStyle w:val="Body"/>
        <w:spacing w:before="0" w:after="120" w:line="240" w:lineRule="auto"/>
        <w:rPr>
          <w:rFonts w:asciiTheme="majorHAnsi" w:hAnsiTheme="majorHAnsi" w:cstheme="majorHAnsi"/>
        </w:rPr>
      </w:pPr>
    </w:p>
    <w:p w:rsidR="00AD5585" w:rsidRPr="009457A9" w:rsidRDefault="00AD5585" w:rsidP="00AD5585">
      <w:pPr>
        <w:pStyle w:val="Body"/>
        <w:spacing w:before="0" w:after="120" w:line="240" w:lineRule="auto"/>
        <w:rPr>
          <w:rFonts w:asciiTheme="majorHAnsi" w:hAnsiTheme="majorHAnsi" w:cstheme="majorHAnsi"/>
        </w:rPr>
      </w:pPr>
      <w:r w:rsidRPr="009457A9">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3681"/>
      </w:tblGrid>
      <w:tr w:rsidR="00AD5585" w:rsidRPr="009457A9" w:rsidTr="008D7637">
        <w:tc>
          <w:tcPr>
            <w:tcW w:w="3681" w:type="dxa"/>
          </w:tcPr>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HAGEJA</w:t>
            </w:r>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Nimi</w:t>
            </w:r>
          </w:p>
          <w:p w:rsidR="00AD5585" w:rsidRPr="006D5133"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Isiku</w:t>
            </w:r>
            <w:r>
              <w:rPr>
                <w:rFonts w:asciiTheme="majorHAnsi" w:hAnsiTheme="majorHAnsi" w:cstheme="majorHAnsi"/>
              </w:rPr>
              <w:t>-</w:t>
            </w:r>
            <w:r w:rsidRPr="006D5133">
              <w:rPr>
                <w:rFonts w:asciiTheme="majorHAnsi" w:hAnsiTheme="majorHAnsi" w:cstheme="majorHAnsi"/>
              </w:rPr>
              <w:t>/registrikood</w:t>
            </w:r>
            <w:proofErr w:type="spellEnd"/>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Elu</w:t>
            </w:r>
            <w:r>
              <w:rPr>
                <w:rFonts w:asciiTheme="majorHAnsi" w:hAnsiTheme="majorHAnsi" w:cstheme="majorHAnsi"/>
              </w:rPr>
              <w:t>-</w:t>
            </w:r>
            <w:r w:rsidRPr="009457A9">
              <w:rPr>
                <w:rFonts w:asciiTheme="majorHAnsi" w:hAnsiTheme="majorHAnsi" w:cstheme="majorHAnsi"/>
              </w:rPr>
              <w:t>/asukoht</w:t>
            </w:r>
            <w:proofErr w:type="spellEnd"/>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Esindaja</w:t>
            </w:r>
          </w:p>
        </w:tc>
      </w:tr>
    </w:tbl>
    <w:p w:rsidR="00AD5585" w:rsidRPr="009457A9" w:rsidRDefault="00AD5585" w:rsidP="00AD5585">
      <w:pPr>
        <w:pStyle w:val="Body"/>
        <w:spacing w:before="0" w:after="12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3681"/>
      </w:tblGrid>
      <w:tr w:rsidR="00AD5585" w:rsidRPr="009457A9" w:rsidTr="008D7637">
        <w:tc>
          <w:tcPr>
            <w:tcW w:w="3681" w:type="dxa"/>
          </w:tcPr>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KOSTJA</w:t>
            </w:r>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Nimi</w:t>
            </w:r>
          </w:p>
          <w:p w:rsidR="00AD5585" w:rsidRPr="006D5133"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Isiku</w:t>
            </w:r>
            <w:r>
              <w:rPr>
                <w:rFonts w:asciiTheme="majorHAnsi" w:hAnsiTheme="majorHAnsi" w:cstheme="majorHAnsi"/>
              </w:rPr>
              <w:t>-</w:t>
            </w:r>
            <w:r w:rsidRPr="006D5133">
              <w:rPr>
                <w:rFonts w:asciiTheme="majorHAnsi" w:hAnsiTheme="majorHAnsi" w:cstheme="majorHAnsi"/>
              </w:rPr>
              <w:t>/registrikood</w:t>
            </w:r>
            <w:proofErr w:type="spellEnd"/>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roofErr w:type="spellStart"/>
            <w:r w:rsidRPr="009457A9">
              <w:rPr>
                <w:rFonts w:asciiTheme="majorHAnsi" w:hAnsiTheme="majorHAnsi" w:cstheme="majorHAnsi"/>
              </w:rPr>
              <w:t>Elu</w:t>
            </w:r>
            <w:r>
              <w:rPr>
                <w:rFonts w:asciiTheme="majorHAnsi" w:hAnsiTheme="majorHAnsi" w:cstheme="majorHAnsi"/>
              </w:rPr>
              <w:t>-</w:t>
            </w:r>
            <w:r w:rsidRPr="009457A9">
              <w:rPr>
                <w:rFonts w:asciiTheme="majorHAnsi" w:hAnsiTheme="majorHAnsi" w:cstheme="majorHAnsi"/>
              </w:rPr>
              <w:t>/asukoht</w:t>
            </w:r>
            <w:proofErr w:type="spellEnd"/>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rPr>
              <w:t>Esindaja</w:t>
            </w:r>
          </w:p>
        </w:tc>
      </w:tr>
    </w:tbl>
    <w:p w:rsidR="00AD5585" w:rsidRPr="009457A9" w:rsidRDefault="00AD5585" w:rsidP="00AD5585">
      <w:pPr>
        <w:pStyle w:val="Body"/>
        <w:spacing w:before="0" w:after="120" w:line="240" w:lineRule="auto"/>
        <w:rPr>
          <w:rFonts w:asciiTheme="majorHAnsi" w:hAnsiTheme="majorHAnsi" w:cstheme="majorHAnsi"/>
        </w:rPr>
      </w:pPr>
    </w:p>
    <w:p w:rsidR="00AD5585" w:rsidRPr="009457A9" w:rsidRDefault="00AD5585" w:rsidP="00AD5585">
      <w:pPr>
        <w:pStyle w:val="Body"/>
        <w:spacing w:before="0" w:after="120" w:line="240" w:lineRule="auto"/>
        <w:rPr>
          <w:rFonts w:asciiTheme="majorHAnsi" w:hAnsiTheme="majorHAnsi" w:cstheme="majorHAnsi"/>
          <w:b/>
        </w:rPr>
      </w:pPr>
      <w:r w:rsidRPr="009457A9">
        <w:rPr>
          <w:rFonts w:asciiTheme="majorHAnsi" w:hAnsiTheme="majorHAnsi" w:cstheme="majorHAnsi"/>
          <w:b/>
        </w:rPr>
        <w:t>KOSTJA VASTUS</w:t>
      </w:r>
    </w:p>
    <w:p w:rsidR="00AD5585" w:rsidRPr="009457A9" w:rsidRDefault="00AD5585" w:rsidP="00AD5585">
      <w:pPr>
        <w:pStyle w:val="Body"/>
        <w:spacing w:before="0" w:after="120" w:line="240" w:lineRule="auto"/>
        <w:rPr>
          <w:rFonts w:asciiTheme="majorHAnsi" w:hAnsiTheme="majorHAnsi" w:cstheme="majorHAnsi"/>
          <w:b/>
        </w:rPr>
      </w:pPr>
    </w:p>
    <w:p w:rsidR="00AD5585" w:rsidRPr="009457A9" w:rsidRDefault="00AD5585" w:rsidP="00AD558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b/>
        </w:rPr>
      </w:pPr>
      <w:r w:rsidRPr="009457A9">
        <w:rPr>
          <w:rFonts w:asciiTheme="majorHAnsi" w:hAnsiTheme="majorHAnsi" w:cstheme="majorHAnsi"/>
          <w:b/>
        </w:rPr>
        <w:t>RESOLUTSIOON</w:t>
      </w:r>
    </w:p>
    <w:p w:rsidR="00AD5585" w:rsidRPr="009457A9"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Resolutsioonis esitatakse kõik kost</w:t>
      </w:r>
      <w:r>
        <w:rPr>
          <w:rFonts w:asciiTheme="majorHAnsi" w:hAnsiTheme="majorHAnsi" w:cstheme="majorHAnsi"/>
          <w:i/>
          <w:sz w:val="20"/>
          <w:szCs w:val="20"/>
        </w:rPr>
        <w:t>j</w:t>
      </w:r>
      <w:r w:rsidRPr="006D5133">
        <w:rPr>
          <w:rFonts w:asciiTheme="majorHAnsi" w:hAnsiTheme="majorHAnsi" w:cstheme="majorHAnsi"/>
          <w:i/>
          <w:sz w:val="20"/>
          <w:szCs w:val="20"/>
        </w:rPr>
        <w:t xml:space="preserve">a taotlused. </w:t>
      </w:r>
      <w:r>
        <w:rPr>
          <w:rFonts w:asciiTheme="majorHAnsi" w:hAnsiTheme="majorHAnsi" w:cstheme="majorHAnsi"/>
          <w:i/>
          <w:sz w:val="20"/>
          <w:szCs w:val="20"/>
        </w:rPr>
        <w:t>Need</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 xml:space="preserve">sõnastatakse viisil, mis vastab kohtulahendi resolutsioonile esitatavatele nõuetele juhul, kui kohus </w:t>
      </w:r>
      <w:r w:rsidRPr="00680C7C">
        <w:rPr>
          <w:rFonts w:asciiTheme="majorHAnsi" w:hAnsiTheme="majorHAnsi" w:cstheme="majorHAnsi"/>
          <w:i/>
          <w:sz w:val="20"/>
          <w:szCs w:val="20"/>
        </w:rPr>
        <w:t>nõustub</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kostja taotlustega.</w:t>
      </w:r>
    </w:p>
    <w:p w:rsidR="00AD5585" w:rsidRPr="009457A9"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Pr>
          <w:rFonts w:asciiTheme="majorHAnsi" w:hAnsiTheme="majorHAnsi" w:cstheme="majorHAnsi"/>
          <w:i/>
          <w:sz w:val="20"/>
          <w:szCs w:val="20"/>
        </w:rPr>
        <w:t>Kui on a</w:t>
      </w:r>
      <w:r w:rsidRPr="006D5133">
        <w:rPr>
          <w:rFonts w:asciiTheme="majorHAnsi" w:hAnsiTheme="majorHAnsi" w:cstheme="majorHAnsi"/>
          <w:i/>
          <w:sz w:val="20"/>
          <w:szCs w:val="20"/>
        </w:rPr>
        <w:t>lternatiivse</w:t>
      </w:r>
      <w:r>
        <w:rPr>
          <w:rFonts w:asciiTheme="majorHAnsi" w:hAnsiTheme="majorHAnsi" w:cstheme="majorHAnsi"/>
          <w:i/>
          <w:sz w:val="20"/>
          <w:szCs w:val="20"/>
        </w:rPr>
        <w:t>id</w:t>
      </w:r>
      <w:r w:rsidRPr="009457A9">
        <w:rPr>
          <w:rFonts w:asciiTheme="majorHAnsi" w:hAnsiTheme="majorHAnsi" w:cstheme="majorHAnsi"/>
          <w:i/>
          <w:sz w:val="20"/>
          <w:szCs w:val="20"/>
        </w:rPr>
        <w:t xml:space="preserve"> taotlus</w:t>
      </w:r>
      <w:r>
        <w:rPr>
          <w:rFonts w:asciiTheme="majorHAnsi" w:hAnsiTheme="majorHAnsi" w:cstheme="majorHAnsi"/>
          <w:i/>
          <w:sz w:val="20"/>
          <w:szCs w:val="20"/>
        </w:rPr>
        <w:t xml:space="preserve">i, </w:t>
      </w:r>
      <w:r w:rsidRPr="009457A9">
        <w:rPr>
          <w:rFonts w:asciiTheme="majorHAnsi" w:hAnsiTheme="majorHAnsi" w:cstheme="majorHAnsi"/>
          <w:i/>
          <w:sz w:val="20"/>
          <w:szCs w:val="20"/>
        </w:rPr>
        <w:t xml:space="preserve">tuuakse selgelt </w:t>
      </w:r>
      <w:r>
        <w:rPr>
          <w:rFonts w:asciiTheme="majorHAnsi" w:hAnsiTheme="majorHAnsi" w:cstheme="majorHAnsi"/>
          <w:i/>
          <w:sz w:val="20"/>
          <w:szCs w:val="20"/>
        </w:rPr>
        <w:t>esile</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 xml:space="preserve">alternatiivide järjekord. </w:t>
      </w:r>
    </w:p>
    <w:p w:rsidR="00AD5585" w:rsidRPr="009457A9"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Taotlus</w:t>
      </w:r>
      <w:r>
        <w:rPr>
          <w:rFonts w:asciiTheme="majorHAnsi" w:hAnsiTheme="majorHAnsi" w:cstheme="majorHAnsi"/>
          <w:i/>
          <w:sz w:val="20"/>
          <w:szCs w:val="20"/>
        </w:rPr>
        <w:t>i</w:t>
      </w:r>
      <w:r w:rsidRPr="009457A9">
        <w:rPr>
          <w:rFonts w:asciiTheme="majorHAnsi" w:hAnsiTheme="majorHAnsi" w:cstheme="majorHAnsi"/>
          <w:i/>
          <w:sz w:val="20"/>
          <w:szCs w:val="20"/>
        </w:rPr>
        <w:t xml:space="preserve"> täienda</w:t>
      </w:r>
      <w:r>
        <w:rPr>
          <w:rFonts w:asciiTheme="majorHAnsi" w:hAnsiTheme="majorHAnsi" w:cstheme="majorHAnsi"/>
          <w:i/>
          <w:sz w:val="20"/>
          <w:szCs w:val="20"/>
        </w:rPr>
        <w:t>des</w:t>
      </w:r>
      <w:r w:rsidRPr="009457A9">
        <w:rPr>
          <w:rFonts w:asciiTheme="majorHAnsi" w:hAnsiTheme="majorHAnsi" w:cstheme="majorHAnsi"/>
          <w:i/>
          <w:sz w:val="20"/>
          <w:szCs w:val="20"/>
        </w:rPr>
        <w:t xml:space="preserve"> esitatakse samas dokumendis uus resolutsioon tervikuna, sh võimalikud varem esitatud menetluslikud taotlused, mis on veel lahendamata. Varem esitatud ja selleks hetkeks lahendatud taotlusi uuesti ei esitata.</w:t>
      </w:r>
    </w:p>
    <w:p w:rsidR="00AD5585" w:rsidRPr="009457A9"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9457A9">
        <w:rPr>
          <w:rFonts w:asciiTheme="majorHAnsi" w:hAnsiTheme="majorHAnsi" w:cstheme="majorHAnsi"/>
          <w:i/>
          <w:sz w:val="20"/>
          <w:szCs w:val="20"/>
        </w:rPr>
        <w:t xml:space="preserve">Menetluslikud taotlused esitatakse pärast </w:t>
      </w:r>
      <w:r w:rsidRPr="0010037B">
        <w:rPr>
          <w:rFonts w:asciiTheme="majorHAnsi" w:hAnsiTheme="majorHAnsi" w:cstheme="majorHAnsi"/>
          <w:i/>
          <w:sz w:val="20"/>
          <w:szCs w:val="20"/>
        </w:rPr>
        <w:t>seisukoha esitamist</w:t>
      </w:r>
      <w:r w:rsidRPr="006D5133">
        <w:rPr>
          <w:rFonts w:asciiTheme="majorHAnsi" w:hAnsiTheme="majorHAnsi" w:cstheme="majorHAnsi"/>
          <w:i/>
          <w:sz w:val="20"/>
          <w:szCs w:val="20"/>
        </w:rPr>
        <w:t xml:space="preserve"> </w:t>
      </w:r>
      <w:r w:rsidRPr="009457A9">
        <w:rPr>
          <w:rFonts w:asciiTheme="majorHAnsi" w:hAnsiTheme="majorHAnsi" w:cstheme="majorHAnsi"/>
          <w:i/>
          <w:sz w:val="20"/>
          <w:szCs w:val="20"/>
        </w:rPr>
        <w:t xml:space="preserve">hagi nõuete lahendamise </w:t>
      </w:r>
      <w:r>
        <w:rPr>
          <w:rFonts w:asciiTheme="majorHAnsi" w:hAnsiTheme="majorHAnsi" w:cstheme="majorHAnsi"/>
          <w:i/>
          <w:sz w:val="20"/>
          <w:szCs w:val="20"/>
        </w:rPr>
        <w:t>kohta</w:t>
      </w:r>
      <w:r w:rsidRPr="009457A9">
        <w:rPr>
          <w:rFonts w:asciiTheme="majorHAnsi" w:hAnsiTheme="majorHAnsi" w:cstheme="majorHAnsi"/>
          <w:i/>
          <w:sz w:val="20"/>
          <w:szCs w:val="20"/>
        </w:rPr>
        <w:t>.</w:t>
      </w:r>
    </w:p>
    <w:p w:rsidR="00AD5585" w:rsidRPr="009457A9" w:rsidRDefault="00AD5585" w:rsidP="00AD5585">
      <w:pPr>
        <w:pStyle w:val="Body"/>
        <w:numPr>
          <w:ilvl w:val="0"/>
          <w:numId w:val="5"/>
        </w:numPr>
        <w:spacing w:before="0" w:after="120" w:line="240" w:lineRule="auto"/>
        <w:rPr>
          <w:rFonts w:asciiTheme="majorHAnsi" w:hAnsiTheme="majorHAnsi" w:cstheme="majorHAnsi"/>
          <w:b/>
        </w:rPr>
      </w:pPr>
      <w:r w:rsidRPr="009457A9">
        <w:rPr>
          <w:rFonts w:asciiTheme="majorHAnsi" w:hAnsiTheme="majorHAnsi" w:cstheme="majorHAnsi"/>
          <w:b/>
        </w:rPr>
        <w:t>Jätta hagi rahuldamata …</w:t>
      </w:r>
    </w:p>
    <w:p w:rsidR="00AD5585" w:rsidRPr="009457A9" w:rsidRDefault="00AD5585" w:rsidP="00AD5585">
      <w:pPr>
        <w:pStyle w:val="Body"/>
        <w:numPr>
          <w:ilvl w:val="0"/>
          <w:numId w:val="5"/>
        </w:numPr>
        <w:spacing w:before="0" w:after="120" w:line="240" w:lineRule="auto"/>
        <w:rPr>
          <w:rFonts w:asciiTheme="majorHAnsi" w:hAnsiTheme="majorHAnsi" w:cstheme="majorHAnsi"/>
          <w:b/>
        </w:rPr>
      </w:pPr>
      <w:r w:rsidRPr="009457A9">
        <w:rPr>
          <w:rFonts w:asciiTheme="majorHAnsi" w:hAnsiTheme="majorHAnsi" w:cstheme="majorHAnsi"/>
          <w:b/>
        </w:rPr>
        <w:t>Alternatiivselt tasaarvestada hageja nõue …</w:t>
      </w:r>
    </w:p>
    <w:p w:rsidR="00AD5585" w:rsidRPr="009457A9" w:rsidRDefault="00AD5585" w:rsidP="00AD5585">
      <w:pPr>
        <w:pStyle w:val="Body"/>
        <w:numPr>
          <w:ilvl w:val="0"/>
          <w:numId w:val="5"/>
        </w:numPr>
        <w:spacing w:before="0" w:after="120" w:line="240" w:lineRule="auto"/>
        <w:rPr>
          <w:rFonts w:asciiTheme="majorHAnsi" w:hAnsiTheme="majorHAnsi" w:cstheme="majorHAnsi"/>
          <w:b/>
        </w:rPr>
      </w:pPr>
      <w:r w:rsidRPr="009457A9">
        <w:rPr>
          <w:rFonts w:asciiTheme="majorHAnsi" w:hAnsiTheme="majorHAnsi" w:cstheme="majorHAnsi"/>
          <w:b/>
        </w:rPr>
        <w:t>Välja nõuda tõendid …</w:t>
      </w:r>
    </w:p>
    <w:p w:rsidR="00AD5585" w:rsidRPr="009457A9" w:rsidRDefault="00AD5585" w:rsidP="00AD5585">
      <w:pPr>
        <w:pStyle w:val="Body"/>
        <w:spacing w:before="0" w:after="120" w:line="240" w:lineRule="auto"/>
        <w:rPr>
          <w:rFonts w:asciiTheme="majorHAnsi" w:hAnsiTheme="majorHAnsi" w:cstheme="majorHAnsi"/>
          <w:b/>
          <w:i/>
        </w:rPr>
      </w:pPr>
    </w:p>
    <w:p w:rsidR="00AD5585" w:rsidRPr="009457A9" w:rsidRDefault="00AD5585" w:rsidP="00AD5585">
      <w:pPr>
        <w:pStyle w:val="Body"/>
        <w:spacing w:before="0" w:after="120" w:line="240" w:lineRule="auto"/>
        <w:rPr>
          <w:rFonts w:asciiTheme="majorHAnsi" w:hAnsiTheme="majorHAnsi" w:cstheme="majorHAnsi"/>
        </w:rPr>
      </w:pPr>
      <w:r w:rsidRPr="009457A9">
        <w:rPr>
          <w:rFonts w:asciiTheme="majorHAnsi" w:hAnsiTheme="majorHAnsi" w:cstheme="majorHAnsi"/>
          <w:b/>
        </w:rPr>
        <w:t xml:space="preserve">I.I SEISUKOHT FAKTILISTE ASJAOLUDE </w:t>
      </w:r>
      <w:r>
        <w:rPr>
          <w:rFonts w:asciiTheme="majorHAnsi" w:hAnsiTheme="majorHAnsi" w:cstheme="majorHAnsi"/>
          <w:b/>
        </w:rPr>
        <w:t>KOHTA</w:t>
      </w:r>
      <w:r w:rsidRPr="006D5133">
        <w:rPr>
          <w:rFonts w:asciiTheme="majorHAnsi" w:hAnsiTheme="majorHAnsi" w:cstheme="majorHAnsi"/>
          <w:b/>
        </w:rPr>
        <w:t xml:space="preserve"> </w:t>
      </w:r>
      <w:r w:rsidRPr="009457A9">
        <w:rPr>
          <w:rFonts w:asciiTheme="majorHAnsi" w:hAnsiTheme="majorHAnsi" w:cstheme="majorHAnsi"/>
          <w:b/>
        </w:rPr>
        <w:t>JA TÕENDID</w:t>
      </w:r>
    </w:p>
    <w:p w:rsidR="00AD5585" w:rsidRPr="009457A9" w:rsidRDefault="00AD5585" w:rsidP="00AD5585">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sz w:val="20"/>
          <w:szCs w:val="20"/>
        </w:rPr>
        <w:t>NB! Numeratsioon peab vastama</w:t>
      </w:r>
      <w:r w:rsidRPr="009457A9">
        <w:rPr>
          <w:rFonts w:asciiTheme="majorHAnsi" w:hAnsiTheme="majorHAnsi" w:cstheme="majorHAnsi"/>
          <w:i/>
          <w:iCs/>
          <w:sz w:val="20"/>
          <w:szCs w:val="20"/>
        </w:rPr>
        <w:t xml:space="preserve"> hagi numeratsioonile. Selles osas annab kostja seisukoha </w:t>
      </w:r>
      <w:r w:rsidRPr="00250495">
        <w:rPr>
          <w:rFonts w:asciiTheme="majorHAnsi" w:hAnsiTheme="majorHAnsi" w:cstheme="majorHAnsi"/>
          <w:i/>
          <w:iCs/>
          <w:sz w:val="20"/>
          <w:szCs w:val="20"/>
        </w:rPr>
        <w:t xml:space="preserve">kõikide </w:t>
      </w:r>
      <w:r w:rsidRPr="006D5133">
        <w:rPr>
          <w:rFonts w:asciiTheme="majorHAnsi" w:hAnsiTheme="majorHAnsi" w:cstheme="majorHAnsi"/>
          <w:i/>
          <w:iCs/>
          <w:sz w:val="20"/>
          <w:szCs w:val="20"/>
        </w:rPr>
        <w:t xml:space="preserve">hagis </w:t>
      </w:r>
      <w:r>
        <w:rPr>
          <w:rFonts w:asciiTheme="majorHAnsi" w:hAnsiTheme="majorHAnsi" w:cstheme="majorHAnsi"/>
          <w:i/>
          <w:iCs/>
          <w:sz w:val="20"/>
          <w:szCs w:val="20"/>
        </w:rPr>
        <w:t>nimetatud</w:t>
      </w:r>
      <w:r w:rsidRPr="006D5133">
        <w:rPr>
          <w:rFonts w:asciiTheme="majorHAnsi" w:hAnsiTheme="majorHAnsi" w:cstheme="majorHAnsi"/>
          <w:i/>
          <w:iCs/>
          <w:sz w:val="20"/>
          <w:szCs w:val="20"/>
        </w:rPr>
        <w:t xml:space="preserve"> </w:t>
      </w:r>
      <w:r w:rsidRPr="009457A9">
        <w:rPr>
          <w:rFonts w:asciiTheme="majorHAnsi" w:hAnsiTheme="majorHAnsi" w:cstheme="majorHAnsi"/>
          <w:i/>
          <w:iCs/>
          <w:sz w:val="20"/>
          <w:szCs w:val="20"/>
        </w:rPr>
        <w:t xml:space="preserve">faktiväidete kohta – </w:t>
      </w:r>
      <w:r>
        <w:rPr>
          <w:rFonts w:asciiTheme="majorHAnsi" w:hAnsiTheme="majorHAnsi" w:cstheme="majorHAnsi"/>
          <w:i/>
          <w:iCs/>
          <w:sz w:val="20"/>
          <w:szCs w:val="20"/>
        </w:rPr>
        <w:t>ta</w:t>
      </w:r>
      <w:r w:rsidRPr="006D5133">
        <w:rPr>
          <w:rFonts w:asciiTheme="majorHAnsi" w:hAnsiTheme="majorHAnsi" w:cstheme="majorHAnsi"/>
          <w:i/>
          <w:iCs/>
          <w:sz w:val="20"/>
          <w:szCs w:val="20"/>
        </w:rPr>
        <w:t xml:space="preserve"> </w:t>
      </w:r>
      <w:r w:rsidRPr="009457A9">
        <w:rPr>
          <w:rFonts w:asciiTheme="majorHAnsi" w:hAnsiTheme="majorHAnsi" w:cstheme="majorHAnsi"/>
          <w:i/>
          <w:iCs/>
          <w:sz w:val="20"/>
          <w:szCs w:val="20"/>
        </w:rPr>
        <w:t>peab selgesõnaliselt välja ütlema, milliste faktiväidetega ta nõustub ja millistega ei nõustu. Käsitlemata jäetud faktiväidete korral on kohtul õigus nõuda uut tervikvastust või eeldada, et käsitlemata jäetud väited on omaks</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võetu</w:t>
      </w:r>
      <w:r w:rsidRPr="009457A9">
        <w:rPr>
          <w:rFonts w:asciiTheme="majorHAnsi" w:hAnsiTheme="majorHAnsi" w:cstheme="majorHAnsi"/>
          <w:i/>
          <w:iCs/>
          <w:sz w:val="20"/>
          <w:szCs w:val="20"/>
        </w:rPr>
        <w:t>d.</w:t>
      </w:r>
    </w:p>
    <w:p w:rsidR="00AD5585" w:rsidRPr="009457A9" w:rsidRDefault="00AD5585" w:rsidP="00AD5585">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Pr>
          <w:rFonts w:asciiTheme="majorHAnsi" w:hAnsiTheme="majorHAnsi" w:cstheme="majorHAnsi"/>
          <w:i/>
          <w:iCs/>
          <w:sz w:val="20"/>
          <w:szCs w:val="20"/>
        </w:rPr>
        <w:lastRenderedPageBreak/>
        <w:t>Kui kostja mõne f</w:t>
      </w:r>
      <w:r w:rsidRPr="009457A9">
        <w:rPr>
          <w:rFonts w:asciiTheme="majorHAnsi" w:hAnsiTheme="majorHAnsi" w:cstheme="majorHAnsi"/>
          <w:i/>
          <w:iCs/>
          <w:sz w:val="20"/>
          <w:szCs w:val="20"/>
        </w:rPr>
        <w:t>aktiväitega ei nõustu, tuleb seda selgesõnaliselt märkida ning üldjuhul esitada konkreetne vastuväide ja seda kinnitavad tõendid. Asjaolude esinemise või mitteesinemisega seotud tõendite hindamisega esitatud põhjendused esitatakse käesolevas jaos</w:t>
      </w:r>
      <w:r>
        <w:rPr>
          <w:rFonts w:asciiTheme="majorHAnsi" w:hAnsiTheme="majorHAnsi" w:cstheme="majorHAnsi"/>
          <w:i/>
          <w:iCs/>
          <w:sz w:val="20"/>
          <w:szCs w:val="20"/>
        </w:rPr>
        <w:t xml:space="preserve"> ning</w:t>
      </w:r>
      <w:r w:rsidRPr="009457A9">
        <w:rPr>
          <w:rFonts w:asciiTheme="majorHAnsi" w:hAnsiTheme="majorHAnsi" w:cstheme="majorHAnsi"/>
          <w:i/>
          <w:iCs/>
          <w:sz w:val="20"/>
          <w:szCs w:val="20"/>
        </w:rPr>
        <w:t xml:space="preserve"> asjaolude pinnalt õiguslikud hinnangud hagi nõude eelduste täitmisele antakse II jaos õiguslike põhjenduste all. Tõendamatuse vastuväite esitamine eeldab üldjuhul ka selget väidet, et hageja esiletoodud asjaolu ei ole õige</w:t>
      </w:r>
      <w:r>
        <w:rPr>
          <w:rFonts w:asciiTheme="majorHAnsi" w:hAnsiTheme="majorHAnsi" w:cstheme="majorHAnsi"/>
          <w:i/>
          <w:iCs/>
          <w:sz w:val="20"/>
          <w:szCs w:val="20"/>
        </w:rPr>
        <w:t>,</w:t>
      </w:r>
      <w:r w:rsidRPr="006D5133">
        <w:rPr>
          <w:rFonts w:asciiTheme="majorHAnsi" w:hAnsiTheme="majorHAnsi" w:cstheme="majorHAnsi"/>
          <w:i/>
          <w:iCs/>
          <w:sz w:val="20"/>
          <w:szCs w:val="20"/>
        </w:rPr>
        <w:t xml:space="preserve"> ning kostja </w:t>
      </w:r>
      <w:r w:rsidRPr="009457A9">
        <w:rPr>
          <w:rFonts w:asciiTheme="majorHAnsi" w:hAnsiTheme="majorHAnsi" w:cstheme="majorHAnsi"/>
          <w:i/>
          <w:iCs/>
          <w:sz w:val="20"/>
          <w:szCs w:val="20"/>
        </w:rPr>
        <w:t xml:space="preserve">seisukoha esitamist tegeliku asjaolu kohta. </w:t>
      </w:r>
    </w:p>
    <w:p w:rsidR="00AD5585" w:rsidRPr="009457A9" w:rsidRDefault="00AD5585" w:rsidP="00AD5585">
      <w:pPr>
        <w:pStyle w:val="Body"/>
        <w:numPr>
          <w:ilvl w:val="1"/>
          <w:numId w:val="6"/>
        </w:numPr>
        <w:spacing w:before="0" w:after="120" w:line="240" w:lineRule="auto"/>
        <w:rPr>
          <w:rFonts w:asciiTheme="majorHAnsi" w:hAnsiTheme="majorHAnsi" w:cstheme="majorHAnsi"/>
        </w:rPr>
      </w:pPr>
      <w:r w:rsidRPr="009457A9">
        <w:rPr>
          <w:rFonts w:asciiTheme="majorHAnsi" w:hAnsiTheme="majorHAnsi" w:cstheme="majorHAnsi"/>
        </w:rPr>
        <w:t>…</w:t>
      </w:r>
    </w:p>
    <w:p w:rsidR="00AD5585" w:rsidRPr="009457A9" w:rsidRDefault="00AD5585" w:rsidP="00AD5585">
      <w:pPr>
        <w:pStyle w:val="Body"/>
        <w:numPr>
          <w:ilvl w:val="1"/>
          <w:numId w:val="6"/>
        </w:numPr>
        <w:spacing w:before="0" w:after="120" w:line="240" w:lineRule="auto"/>
        <w:rPr>
          <w:rFonts w:asciiTheme="majorHAnsi" w:hAnsiTheme="majorHAnsi" w:cstheme="majorHAnsi"/>
        </w:rPr>
      </w:pPr>
      <w:r w:rsidRPr="009457A9">
        <w:rPr>
          <w:rFonts w:asciiTheme="majorHAnsi" w:hAnsiTheme="majorHAnsi" w:cstheme="majorHAnsi"/>
        </w:rPr>
        <w:t>…</w:t>
      </w:r>
    </w:p>
    <w:p w:rsidR="00AD5585" w:rsidRPr="009457A9" w:rsidRDefault="00AD5585" w:rsidP="00AD5585">
      <w:pPr>
        <w:pStyle w:val="Body"/>
        <w:spacing w:before="0" w:after="120" w:line="240" w:lineRule="auto"/>
        <w:rPr>
          <w:rFonts w:asciiTheme="majorHAnsi" w:hAnsiTheme="majorHAnsi" w:cstheme="majorHAnsi"/>
          <w:b/>
          <w:iCs/>
        </w:rPr>
      </w:pPr>
    </w:p>
    <w:p w:rsidR="00AD5585" w:rsidRPr="009457A9" w:rsidRDefault="00AD5585" w:rsidP="00AD5585">
      <w:pPr>
        <w:pStyle w:val="Body"/>
        <w:spacing w:before="0" w:after="120" w:line="240" w:lineRule="auto"/>
        <w:rPr>
          <w:rFonts w:asciiTheme="majorHAnsi" w:hAnsiTheme="majorHAnsi" w:cstheme="majorHAnsi"/>
          <w:b/>
          <w:iCs/>
        </w:rPr>
      </w:pPr>
      <w:r w:rsidRPr="009457A9">
        <w:rPr>
          <w:rFonts w:asciiTheme="majorHAnsi" w:hAnsiTheme="majorHAnsi" w:cstheme="majorHAnsi"/>
          <w:b/>
          <w:iCs/>
        </w:rPr>
        <w:t xml:space="preserve">I.II </w:t>
      </w:r>
      <w:r>
        <w:rPr>
          <w:rFonts w:asciiTheme="majorHAnsi" w:hAnsiTheme="majorHAnsi" w:cstheme="majorHAnsi"/>
          <w:b/>
          <w:iCs/>
        </w:rPr>
        <w:t>LISANDUVAD</w:t>
      </w:r>
      <w:r w:rsidRPr="006D5133">
        <w:rPr>
          <w:rFonts w:asciiTheme="majorHAnsi" w:hAnsiTheme="majorHAnsi" w:cstheme="majorHAnsi"/>
          <w:b/>
          <w:iCs/>
        </w:rPr>
        <w:t xml:space="preserve"> </w:t>
      </w:r>
      <w:r w:rsidRPr="009457A9">
        <w:rPr>
          <w:rFonts w:asciiTheme="majorHAnsi" w:hAnsiTheme="majorHAnsi" w:cstheme="majorHAnsi"/>
          <w:b/>
          <w:iCs/>
        </w:rPr>
        <w:t>FAKTILISED ASJAOLUD JA TÕENDID</w:t>
      </w:r>
    </w:p>
    <w:tbl>
      <w:tblPr>
        <w:tblStyle w:val="TableGrid"/>
        <w:tblW w:w="0" w:type="auto"/>
        <w:tblLook w:val="04A0" w:firstRow="1" w:lastRow="0" w:firstColumn="1" w:lastColumn="0" w:noHBand="0" w:noVBand="1"/>
      </w:tblPr>
      <w:tblGrid>
        <w:gridCol w:w="9288"/>
      </w:tblGrid>
      <w:tr w:rsidR="00AD5585" w:rsidRPr="009457A9" w:rsidTr="008D7637">
        <w:tc>
          <w:tcPr>
            <w:tcW w:w="9410" w:type="dxa"/>
          </w:tcPr>
          <w:p w:rsidR="00AD5585" w:rsidRPr="006D5133" w:rsidRDefault="00AD5585" w:rsidP="008D7637">
            <w:pPr>
              <w:pStyle w:val="Body"/>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 xml:space="preserve">NB! Numeratsioon jätkub, et hageja saaks </w:t>
            </w:r>
            <w:r>
              <w:rPr>
                <w:rFonts w:asciiTheme="majorHAnsi" w:hAnsiTheme="majorHAnsi" w:cstheme="majorHAnsi"/>
                <w:i/>
                <w:iCs/>
                <w:sz w:val="20"/>
                <w:szCs w:val="20"/>
              </w:rPr>
              <w:t>oma</w:t>
            </w:r>
            <w:r w:rsidRPr="006D5133">
              <w:rPr>
                <w:rFonts w:asciiTheme="majorHAnsi" w:hAnsiTheme="majorHAnsi" w:cstheme="majorHAnsi"/>
                <w:i/>
                <w:iCs/>
                <w:sz w:val="20"/>
                <w:szCs w:val="20"/>
              </w:rPr>
              <w:t xml:space="preserve"> arvamuses</w:t>
            </w:r>
            <w:r w:rsidRPr="009457A9">
              <w:rPr>
                <w:rFonts w:asciiTheme="majorHAnsi" w:hAnsiTheme="majorHAnsi" w:cstheme="majorHAnsi"/>
                <w:i/>
                <w:iCs/>
                <w:sz w:val="20"/>
                <w:szCs w:val="20"/>
              </w:rPr>
              <w:t xml:space="preserve"> vajaduse</w:t>
            </w:r>
            <w:r>
              <w:rPr>
                <w:rFonts w:asciiTheme="majorHAnsi" w:hAnsiTheme="majorHAnsi" w:cstheme="majorHAnsi"/>
                <w:i/>
                <w:iCs/>
                <w:sz w:val="20"/>
                <w:szCs w:val="20"/>
              </w:rPr>
              <w:t xml:space="preserve"> korra</w:t>
            </w:r>
            <w:r w:rsidRPr="006D5133">
              <w:rPr>
                <w:rFonts w:asciiTheme="majorHAnsi" w:hAnsiTheme="majorHAnsi" w:cstheme="majorHAnsi"/>
                <w:i/>
                <w:iCs/>
                <w:sz w:val="20"/>
                <w:szCs w:val="20"/>
              </w:rPr>
              <w:t>l nendele asjaoludele vastata.</w:t>
            </w:r>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Kostja esitab oma vastuses kõik vastuväited, nende aluseks olevad kõik asjaolud ja neid kinnitavad kõik tõendid. Kostja vastuses tuleb esitada tervikkäsitlus ka juhul, kui asjaolusid ja tõendeid on esitatud varasemates dokumentides (nt hagi tagamisega seotud määruskaebemenetluses)</w:t>
            </w:r>
            <w:r>
              <w:rPr>
                <w:rFonts w:asciiTheme="majorHAnsi" w:hAnsiTheme="majorHAnsi" w:cstheme="majorHAnsi"/>
                <w:i/>
                <w:iCs/>
                <w:sz w:val="20"/>
                <w:szCs w:val="20"/>
              </w:rPr>
              <w:t>. V</w:t>
            </w:r>
            <w:r w:rsidRPr="009457A9">
              <w:rPr>
                <w:rFonts w:asciiTheme="majorHAnsi" w:hAnsiTheme="majorHAnsi" w:cstheme="majorHAnsi"/>
                <w:i/>
                <w:iCs/>
                <w:sz w:val="20"/>
                <w:szCs w:val="20"/>
              </w:rPr>
              <w:t>arem esitatud tõendeid uuesti ei esitata, vaid esitatakse viide.</w:t>
            </w:r>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 xml:space="preserve">Faktilised asjaolud on verifitseeritavad, seega tõendatavad. </w:t>
            </w:r>
            <w:r w:rsidRPr="009457A9">
              <w:rPr>
                <w:rFonts w:asciiTheme="majorHAnsi" w:hAnsiTheme="majorHAnsi" w:cstheme="majorHAnsi"/>
                <w:i/>
                <w:iCs/>
                <w:sz w:val="20"/>
                <w:szCs w:val="20"/>
                <w:u w:val="single"/>
              </w:rPr>
              <w:t>Igale faktile peab järgnema tõend</w:t>
            </w:r>
            <w:r w:rsidRPr="009457A9">
              <w:rPr>
                <w:rFonts w:asciiTheme="majorHAnsi" w:hAnsiTheme="majorHAnsi" w:cstheme="majorHAnsi"/>
                <w:i/>
                <w:iCs/>
                <w:sz w:val="20"/>
                <w:szCs w:val="20"/>
              </w:rPr>
              <w:t xml:space="preserve">. Kui sama asjaolu tõendatakse mitme tõendiga, esitatakse kõikide </w:t>
            </w:r>
            <w:r>
              <w:rPr>
                <w:rFonts w:asciiTheme="majorHAnsi" w:hAnsiTheme="majorHAnsi" w:cstheme="majorHAnsi"/>
                <w:i/>
                <w:iCs/>
                <w:sz w:val="20"/>
                <w:szCs w:val="20"/>
              </w:rPr>
              <w:t>nende</w:t>
            </w:r>
            <w:r w:rsidRPr="006D5133">
              <w:rPr>
                <w:rFonts w:asciiTheme="majorHAnsi" w:hAnsiTheme="majorHAnsi" w:cstheme="majorHAnsi"/>
                <w:i/>
                <w:iCs/>
                <w:sz w:val="20"/>
                <w:szCs w:val="20"/>
              </w:rPr>
              <w:t xml:space="preserve"> </w:t>
            </w:r>
            <w:r w:rsidRPr="009457A9">
              <w:rPr>
                <w:rFonts w:asciiTheme="majorHAnsi" w:hAnsiTheme="majorHAnsi" w:cstheme="majorHAnsi"/>
                <w:i/>
                <w:iCs/>
                <w:sz w:val="20"/>
                <w:szCs w:val="20"/>
              </w:rPr>
              <w:t xml:space="preserve">tõendite viide. </w:t>
            </w:r>
            <w:r w:rsidRPr="009457A9">
              <w:rPr>
                <w:rFonts w:asciiTheme="majorHAnsi" w:hAnsiTheme="majorHAnsi" w:cstheme="majorHAnsi"/>
                <w:i/>
                <w:iCs/>
                <w:sz w:val="20"/>
                <w:szCs w:val="20"/>
                <w:u w:val="single"/>
              </w:rPr>
              <w:t>Kõik lisade loetelus olevad tõendid peavad olema seostatud faktiliste asjaoludega käesolevas jaotises</w:t>
            </w:r>
            <w:r w:rsidRPr="009457A9">
              <w:rPr>
                <w:rFonts w:asciiTheme="majorHAnsi" w:hAnsiTheme="majorHAnsi" w:cstheme="majorHAnsi"/>
                <w:i/>
                <w:iCs/>
                <w:sz w:val="20"/>
                <w:szCs w:val="20"/>
              </w:rPr>
              <w:t xml:space="preserve"> </w:t>
            </w:r>
            <w:r>
              <w:rPr>
                <w:rFonts w:asciiTheme="majorHAnsi" w:hAnsiTheme="majorHAnsi" w:cstheme="majorHAnsi"/>
                <w:i/>
                <w:iCs/>
                <w:sz w:val="20"/>
                <w:szCs w:val="20"/>
              </w:rPr>
              <w:t xml:space="preserve">ja </w:t>
            </w:r>
            <w:r w:rsidRPr="009457A9">
              <w:rPr>
                <w:rFonts w:asciiTheme="majorHAnsi" w:hAnsiTheme="majorHAnsi" w:cstheme="majorHAnsi"/>
                <w:i/>
                <w:iCs/>
                <w:sz w:val="20"/>
                <w:szCs w:val="20"/>
              </w:rPr>
              <w:t>seostatus tuleb tagada iga asjaol</w:t>
            </w:r>
            <w:r>
              <w:rPr>
                <w:rFonts w:asciiTheme="majorHAnsi" w:hAnsiTheme="majorHAnsi" w:cstheme="majorHAnsi"/>
                <w:i/>
                <w:iCs/>
                <w:sz w:val="20"/>
                <w:szCs w:val="20"/>
              </w:rPr>
              <w:t>uga</w:t>
            </w:r>
            <w:r w:rsidRPr="009457A9">
              <w:rPr>
                <w:rFonts w:asciiTheme="majorHAnsi" w:hAnsiTheme="majorHAnsi" w:cstheme="majorHAnsi"/>
                <w:i/>
                <w:iCs/>
                <w:sz w:val="20"/>
                <w:szCs w:val="20"/>
              </w:rPr>
              <w:t xml:space="preserve">, mida </w:t>
            </w:r>
            <w:r w:rsidRPr="0010037B">
              <w:rPr>
                <w:rFonts w:asciiTheme="majorHAnsi" w:hAnsiTheme="majorHAnsi" w:cstheme="majorHAnsi"/>
                <w:i/>
                <w:iCs/>
                <w:sz w:val="20"/>
                <w:szCs w:val="20"/>
              </w:rPr>
              <w:t>soovitakse</w:t>
            </w:r>
            <w:r w:rsidRPr="006D5133">
              <w:rPr>
                <w:rFonts w:asciiTheme="majorHAnsi" w:hAnsiTheme="majorHAnsi" w:cstheme="majorHAnsi"/>
                <w:i/>
                <w:iCs/>
                <w:sz w:val="20"/>
                <w:szCs w:val="20"/>
              </w:rPr>
              <w:t xml:space="preserve"> </w:t>
            </w:r>
            <w:r w:rsidRPr="009457A9">
              <w:rPr>
                <w:rFonts w:asciiTheme="majorHAnsi" w:hAnsiTheme="majorHAnsi" w:cstheme="majorHAnsi"/>
                <w:i/>
                <w:iCs/>
                <w:sz w:val="20"/>
                <w:szCs w:val="20"/>
              </w:rPr>
              <w:t>selle tõendiga tõendada.</w:t>
            </w:r>
          </w:p>
          <w:p w:rsidR="00AD5585" w:rsidRPr="006D5133"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Kui kostja taotleb tõendi väljanõudmist, esitatakse faktiliste asjaolude juures selgitus, millist asjaolu soovitakse väljanõut</w:t>
            </w:r>
            <w:r>
              <w:rPr>
                <w:rFonts w:asciiTheme="majorHAnsi" w:hAnsiTheme="majorHAnsi" w:cstheme="majorHAnsi"/>
                <w:i/>
                <w:iCs/>
                <w:sz w:val="20"/>
                <w:szCs w:val="20"/>
              </w:rPr>
              <w:t>a</w:t>
            </w:r>
            <w:r w:rsidRPr="009457A9">
              <w:rPr>
                <w:rFonts w:asciiTheme="majorHAnsi" w:hAnsiTheme="majorHAnsi" w:cstheme="majorHAnsi"/>
                <w:i/>
                <w:iCs/>
                <w:sz w:val="20"/>
                <w:szCs w:val="20"/>
              </w:rPr>
              <w:t>va tõendiga</w:t>
            </w:r>
            <w:r w:rsidRPr="0010037B">
              <w:rPr>
                <w:rFonts w:asciiTheme="majorHAnsi" w:hAnsiTheme="majorHAnsi" w:cstheme="majorHAnsi"/>
                <w:i/>
                <w:iCs/>
                <w:sz w:val="20"/>
                <w:szCs w:val="20"/>
              </w:rPr>
              <w:t xml:space="preserve"> tõendada</w:t>
            </w:r>
            <w:r w:rsidRPr="006D5133">
              <w:rPr>
                <w:rFonts w:asciiTheme="majorHAnsi" w:hAnsiTheme="majorHAnsi" w:cstheme="majorHAnsi"/>
                <w:i/>
                <w:iCs/>
                <w:sz w:val="20"/>
                <w:szCs w:val="20"/>
              </w:rPr>
              <w:t>. Tõendi väljanõudmise taotlus esitatakse dokumendi III osas menetluslike</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 xml:space="preserve">taotluste </w:t>
            </w:r>
            <w:r>
              <w:rPr>
                <w:rFonts w:asciiTheme="majorHAnsi" w:hAnsiTheme="majorHAnsi" w:cstheme="majorHAnsi"/>
                <w:i/>
                <w:iCs/>
                <w:sz w:val="20"/>
                <w:szCs w:val="20"/>
              </w:rPr>
              <w:t>juures</w:t>
            </w:r>
            <w:r w:rsidRPr="006D5133">
              <w:rPr>
                <w:rFonts w:asciiTheme="majorHAnsi" w:hAnsiTheme="majorHAnsi" w:cstheme="majorHAnsi"/>
                <w:i/>
                <w:iCs/>
                <w:sz w:val="20"/>
                <w:szCs w:val="20"/>
              </w:rPr>
              <w:t>.</w:t>
            </w:r>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sz w:val="20"/>
                <w:szCs w:val="20"/>
              </w:rPr>
              <w:t>Kui kostja taotleb ekspertiisi, esitatakse faktiliste asjaolude juures selgitus, millist kostja esitatud asjaolu soovitakse ekspertiisiga tõendada. Ekspertiisi</w:t>
            </w:r>
            <w:r w:rsidRPr="009457A9">
              <w:rPr>
                <w:rFonts w:asciiTheme="majorHAnsi" w:hAnsiTheme="majorHAnsi" w:cstheme="majorHAnsi"/>
                <w:i/>
                <w:iCs/>
                <w:sz w:val="20"/>
                <w:szCs w:val="20"/>
              </w:rPr>
              <w:t xml:space="preserve">taotlus esitatakse dokumendi III osas menetluslike taotluste </w:t>
            </w:r>
            <w:r>
              <w:rPr>
                <w:rFonts w:asciiTheme="majorHAnsi" w:hAnsiTheme="majorHAnsi" w:cstheme="majorHAnsi"/>
                <w:i/>
                <w:iCs/>
                <w:sz w:val="20"/>
                <w:szCs w:val="20"/>
              </w:rPr>
              <w:t>juures</w:t>
            </w:r>
            <w:r w:rsidRPr="009457A9">
              <w:rPr>
                <w:rFonts w:asciiTheme="majorHAnsi" w:hAnsiTheme="majorHAnsi" w:cstheme="majorHAnsi"/>
                <w:i/>
                <w:iCs/>
                <w:sz w:val="20"/>
                <w:szCs w:val="20"/>
              </w:rPr>
              <w:t xml:space="preserve">. </w:t>
            </w:r>
          </w:p>
          <w:p w:rsidR="00AD5585" w:rsidRPr="009457A9" w:rsidRDefault="00AD5585" w:rsidP="008D763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 xml:space="preserve">Kui kostja taotleb tunnistaja ülekuulamist või poolelt vande all seletuse võtmist, esitatakse faktiliste asjaolude juures selgitus, millist asjaolu soovitakse ütlustega tõendada. </w:t>
            </w:r>
            <w:r w:rsidRPr="009457A9">
              <w:rPr>
                <w:rFonts w:asciiTheme="majorHAnsi" w:hAnsiTheme="majorHAnsi" w:cstheme="majorHAnsi"/>
                <w:i/>
                <w:sz w:val="20"/>
                <w:szCs w:val="20"/>
              </w:rPr>
              <w:t xml:space="preserve">Tunnistaja ülekuulamise ja poolelt vande all seletuse võtmise </w:t>
            </w:r>
            <w:r w:rsidRPr="009457A9">
              <w:rPr>
                <w:rFonts w:asciiTheme="majorHAnsi" w:hAnsiTheme="majorHAnsi" w:cstheme="majorHAnsi"/>
                <w:i/>
                <w:iCs/>
                <w:sz w:val="20"/>
                <w:szCs w:val="20"/>
              </w:rPr>
              <w:t xml:space="preserve">taotlus esitatakse dokumendi III osas menetluslike taotluste </w:t>
            </w:r>
            <w:r>
              <w:rPr>
                <w:rFonts w:asciiTheme="majorHAnsi" w:hAnsiTheme="majorHAnsi" w:cstheme="majorHAnsi"/>
                <w:i/>
                <w:iCs/>
                <w:sz w:val="20"/>
                <w:szCs w:val="20"/>
              </w:rPr>
              <w:t>juures</w:t>
            </w:r>
            <w:r w:rsidRPr="009457A9">
              <w:rPr>
                <w:rFonts w:asciiTheme="majorHAnsi" w:hAnsiTheme="majorHAnsi" w:cstheme="majorHAnsi"/>
                <w:i/>
                <w:iCs/>
                <w:sz w:val="20"/>
                <w:szCs w:val="20"/>
              </w:rPr>
              <w:t>.</w:t>
            </w:r>
          </w:p>
        </w:tc>
      </w:tr>
    </w:tbl>
    <w:p w:rsidR="00AD5585" w:rsidRPr="006D5133" w:rsidRDefault="00AD5585" w:rsidP="00AD5585">
      <w:pPr>
        <w:pStyle w:val="Body"/>
        <w:numPr>
          <w:ilvl w:val="1"/>
          <w:numId w:val="6"/>
        </w:numPr>
        <w:spacing w:before="0" w:after="120" w:line="240" w:lineRule="auto"/>
        <w:rPr>
          <w:rFonts w:asciiTheme="majorHAnsi" w:hAnsiTheme="majorHAnsi" w:cstheme="majorHAnsi"/>
        </w:rPr>
      </w:pPr>
      <w:r w:rsidRPr="006D5133">
        <w:rPr>
          <w:rFonts w:asciiTheme="majorHAnsi" w:hAnsiTheme="majorHAnsi" w:cstheme="majorHAnsi"/>
        </w:rPr>
        <w:t>…</w:t>
      </w:r>
    </w:p>
    <w:p w:rsidR="00AD5585" w:rsidRPr="009457A9" w:rsidRDefault="00AD5585" w:rsidP="00AD5585">
      <w:pPr>
        <w:pStyle w:val="Body"/>
        <w:numPr>
          <w:ilvl w:val="1"/>
          <w:numId w:val="6"/>
        </w:numPr>
        <w:spacing w:before="0" w:after="120" w:line="240" w:lineRule="auto"/>
        <w:rPr>
          <w:rFonts w:asciiTheme="majorHAnsi" w:hAnsiTheme="majorHAnsi" w:cstheme="majorHAnsi"/>
        </w:rPr>
      </w:pPr>
      <w:r w:rsidRPr="009457A9">
        <w:rPr>
          <w:rFonts w:asciiTheme="majorHAnsi" w:hAnsiTheme="majorHAnsi" w:cstheme="majorHAnsi"/>
        </w:rPr>
        <w:t>…</w:t>
      </w:r>
    </w:p>
    <w:p w:rsidR="00AD5585" w:rsidRPr="009457A9" w:rsidRDefault="00AD5585" w:rsidP="00AD558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b/>
        </w:rPr>
      </w:pPr>
    </w:p>
    <w:p w:rsidR="00AD5585" w:rsidRPr="009457A9" w:rsidRDefault="00AD5585" w:rsidP="00AD558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rPr>
      </w:pPr>
      <w:r w:rsidRPr="009457A9">
        <w:rPr>
          <w:rFonts w:asciiTheme="majorHAnsi" w:hAnsiTheme="majorHAnsi" w:cstheme="majorHAnsi"/>
          <w:b/>
        </w:rPr>
        <w:t>II KOSTJA SEISUKOHT HAGI ÕIGUSLIKU PÕHJENDUSE KOHTA JA KOSTJA ÕIGUSLIK PÕHJENDUS</w:t>
      </w:r>
    </w:p>
    <w:p w:rsidR="00AD5585" w:rsidRPr="009457A9" w:rsidRDefault="00AD5585" w:rsidP="00AD5585">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sz w:val="20"/>
          <w:szCs w:val="20"/>
        </w:rPr>
        <w:t>Õiguslik</w:t>
      </w:r>
      <w:r w:rsidRPr="009457A9">
        <w:rPr>
          <w:rFonts w:asciiTheme="majorHAnsi" w:hAnsiTheme="majorHAnsi" w:cstheme="majorHAnsi"/>
          <w:i/>
          <w:iCs/>
          <w:sz w:val="20"/>
          <w:szCs w:val="20"/>
        </w:rPr>
        <w:t xml:space="preserve"> põhjendus hõlmab faktiliste asjaolude pinnalt tehtud õiguslikke järeldusi – selget seisukohta, millised hagi nõude eelduseks olevad tingimused ei ole täidetud ja miks.</w:t>
      </w:r>
    </w:p>
    <w:p w:rsidR="00AD5585" w:rsidRPr="009457A9" w:rsidRDefault="00AD5585" w:rsidP="00AD5585">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Õigusnorme ei ole vaja lahti kirjutada, piisab viitest. Advokaadid esitavad vastuväidete aluseks olevate õigusnormide viited. Alternatiivse</w:t>
      </w:r>
      <w:r>
        <w:rPr>
          <w:rFonts w:asciiTheme="majorHAnsi" w:hAnsiTheme="majorHAnsi" w:cstheme="majorHAnsi"/>
          <w:i/>
          <w:iCs/>
          <w:sz w:val="20"/>
          <w:szCs w:val="20"/>
        </w:rPr>
        <w:t xml:space="preserve"> </w:t>
      </w:r>
      <w:r w:rsidRPr="006D5133">
        <w:rPr>
          <w:rFonts w:asciiTheme="majorHAnsi" w:hAnsiTheme="majorHAnsi" w:cstheme="majorHAnsi"/>
          <w:i/>
          <w:iCs/>
          <w:sz w:val="20"/>
          <w:szCs w:val="20"/>
        </w:rPr>
        <w:t>kvalifikatsiooni võimalusel märgitakse see/</w:t>
      </w:r>
      <w:r w:rsidRPr="009457A9">
        <w:rPr>
          <w:rFonts w:asciiTheme="majorHAnsi" w:hAnsiTheme="majorHAnsi" w:cstheme="majorHAnsi"/>
          <w:i/>
          <w:iCs/>
          <w:sz w:val="20"/>
          <w:szCs w:val="20"/>
        </w:rPr>
        <w:t>need eraldi.</w:t>
      </w:r>
    </w:p>
    <w:p w:rsidR="00AD5585" w:rsidRPr="006D5133" w:rsidRDefault="00AD5585" w:rsidP="00AD5585">
      <w:pPr>
        <w:pStyle w:val="Body"/>
        <w:pBdr>
          <w:top w:val="single" w:sz="4" w:space="1" w:color="auto"/>
          <w:left w:val="single" w:sz="4" w:space="1" w:color="auto"/>
          <w:bottom w:val="single" w:sz="4" w:space="1" w:color="auto"/>
          <w:right w:val="single" w:sz="4" w:space="1" w:color="auto"/>
        </w:pBdr>
        <w:spacing w:before="0" w:after="120" w:line="240" w:lineRule="auto"/>
        <w:jc w:val="both"/>
        <w:rPr>
          <w:rFonts w:asciiTheme="majorHAnsi" w:hAnsiTheme="majorHAnsi" w:cstheme="majorHAnsi"/>
          <w:i/>
          <w:iCs/>
          <w:sz w:val="20"/>
          <w:szCs w:val="20"/>
        </w:rPr>
      </w:pPr>
      <w:r w:rsidRPr="009457A9">
        <w:rPr>
          <w:rFonts w:asciiTheme="majorHAnsi" w:hAnsiTheme="majorHAnsi" w:cstheme="majorHAnsi"/>
          <w:i/>
          <w:iCs/>
          <w:sz w:val="20"/>
          <w:szCs w:val="20"/>
        </w:rPr>
        <w:t>Üldjuhul tuleb avatud õigusmõisteid (nt mõistlik aeg, hea usk)</w:t>
      </w:r>
      <w:r>
        <w:rPr>
          <w:rFonts w:asciiTheme="majorHAnsi" w:hAnsiTheme="majorHAnsi" w:cstheme="majorHAnsi"/>
          <w:i/>
          <w:iCs/>
          <w:sz w:val="20"/>
          <w:szCs w:val="20"/>
        </w:rPr>
        <w:t xml:space="preserve"> </w:t>
      </w:r>
      <w:r w:rsidRPr="0010037B">
        <w:rPr>
          <w:rFonts w:asciiTheme="majorHAnsi" w:hAnsiTheme="majorHAnsi" w:cstheme="majorHAnsi"/>
          <w:i/>
          <w:iCs/>
          <w:sz w:val="20"/>
          <w:szCs w:val="20"/>
        </w:rPr>
        <w:t>põhjendada</w:t>
      </w:r>
      <w:r w:rsidRPr="006D5133">
        <w:rPr>
          <w:rFonts w:asciiTheme="majorHAnsi" w:hAnsiTheme="majorHAnsi" w:cstheme="majorHAnsi"/>
          <w:i/>
          <w:iCs/>
          <w:sz w:val="20"/>
          <w:szCs w:val="20"/>
        </w:rPr>
        <w:t xml:space="preserve">. </w:t>
      </w:r>
    </w:p>
    <w:p w:rsidR="00AD5585" w:rsidRPr="009457A9" w:rsidRDefault="00AD5585" w:rsidP="00AD5585">
      <w:pPr>
        <w:pStyle w:val="Body"/>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w:t>
      </w:r>
    </w:p>
    <w:p w:rsidR="00AD5585" w:rsidRPr="009457A9" w:rsidRDefault="00AD5585" w:rsidP="00AD5585">
      <w:pPr>
        <w:pStyle w:val="Body"/>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w:t>
      </w:r>
    </w:p>
    <w:p w:rsidR="00AD5585" w:rsidRPr="009457A9" w:rsidRDefault="00AD5585" w:rsidP="00AD558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p>
    <w:p w:rsidR="00AD5585" w:rsidRPr="009457A9" w:rsidRDefault="00AD5585" w:rsidP="00AD558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jc w:val="both"/>
        <w:rPr>
          <w:rFonts w:asciiTheme="majorHAnsi" w:hAnsiTheme="majorHAnsi" w:cstheme="majorHAnsi"/>
          <w:b/>
        </w:rPr>
      </w:pPr>
      <w:r w:rsidRPr="009457A9">
        <w:rPr>
          <w:rFonts w:asciiTheme="majorHAnsi" w:hAnsiTheme="majorHAnsi" w:cstheme="majorHAnsi"/>
          <w:b/>
        </w:rPr>
        <w:t>III SEISUKOHT HAGEJA MENETLUSLIKE TAOTLUSTE</w:t>
      </w:r>
      <w:r>
        <w:rPr>
          <w:rFonts w:asciiTheme="majorHAnsi" w:hAnsiTheme="majorHAnsi" w:cstheme="majorHAnsi"/>
          <w:b/>
        </w:rPr>
        <w:t xml:space="preserve"> KOHTA</w:t>
      </w:r>
      <w:r w:rsidRPr="009457A9">
        <w:rPr>
          <w:rFonts w:asciiTheme="majorHAnsi" w:hAnsiTheme="majorHAnsi" w:cstheme="majorHAnsi"/>
          <w:b/>
        </w:rPr>
        <w:t xml:space="preserve"> JA KOSTJA MENETLUSLIKUD TAOTLUSED</w:t>
      </w:r>
    </w:p>
    <w:p w:rsidR="00AD5585" w:rsidRPr="009457A9" w:rsidRDefault="00AD5585" w:rsidP="00AD5585">
      <w:pPr>
        <w:pStyle w:val="Body"/>
        <w:spacing w:before="0" w:after="120" w:line="240" w:lineRule="auto"/>
        <w:rPr>
          <w:rFonts w:asciiTheme="majorHAnsi" w:hAnsiTheme="majorHAnsi" w:cstheme="majorHAnsi"/>
          <w:b/>
          <w:i/>
        </w:rPr>
      </w:pPr>
      <w:r w:rsidRPr="009457A9">
        <w:rPr>
          <w:rFonts w:asciiTheme="majorHAnsi" w:hAnsiTheme="majorHAnsi" w:cstheme="majorHAnsi"/>
          <w:b/>
          <w:i/>
        </w:rPr>
        <w:t xml:space="preserve">Tõenditega seotud taotlused </w:t>
      </w:r>
    </w:p>
    <w:p w:rsidR="00AD5585" w:rsidRPr="00B11558"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Calibri Light"/>
          <w:i/>
          <w:sz w:val="20"/>
          <w:szCs w:val="20"/>
        </w:rPr>
      </w:pPr>
      <w:r w:rsidRPr="00B11558">
        <w:rPr>
          <w:rFonts w:asciiTheme="majorHAnsi" w:hAnsiTheme="majorHAnsi" w:cstheme="majorHAnsi"/>
          <w:i/>
          <w:sz w:val="20"/>
          <w:szCs w:val="20"/>
        </w:rPr>
        <w:lastRenderedPageBreak/>
        <w:t xml:space="preserve">- Kui </w:t>
      </w:r>
      <w:r w:rsidRPr="00B11558">
        <w:rPr>
          <w:rFonts w:asciiTheme="majorHAnsi" w:hAnsiTheme="majorHAnsi" w:cs="Calibri Light"/>
          <w:i/>
          <w:iCs/>
          <w:sz w:val="20"/>
          <w:szCs w:val="20"/>
        </w:rPr>
        <w:t xml:space="preserve">kostja taotleb tõendi väljanõudmist, esitatakse selleks taotlus siin. Taotluses selgitab kostja, </w:t>
      </w:r>
      <w:r w:rsidRPr="00B11558">
        <w:rPr>
          <w:rFonts w:asciiTheme="majorHAnsi" w:hAnsiTheme="majorHAnsi" w:cs="Calibri Light"/>
          <w:i/>
          <w:sz w:val="20"/>
          <w:szCs w:val="20"/>
        </w:rPr>
        <w:t>miks tal endal ei ole õnnestunud tõendit saada ja mida on ta tõendi saamiseks teinud;</w:t>
      </w:r>
    </w:p>
    <w:p w:rsidR="00AD5585" w:rsidRPr="00B11558"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Calibri Light"/>
          <w:i/>
          <w:sz w:val="20"/>
          <w:szCs w:val="20"/>
        </w:rPr>
      </w:pPr>
      <w:r w:rsidRPr="00B11558">
        <w:rPr>
          <w:rFonts w:asciiTheme="majorHAnsi" w:hAnsiTheme="majorHAnsi" w:cs="Calibri Light"/>
          <w:i/>
          <w:sz w:val="20"/>
          <w:szCs w:val="20"/>
        </w:rPr>
        <w:t xml:space="preserve">- kui kostja taotleb asjaolude tõendamiseks ekspertiisi, esitatakse selleks taotlus siin. Ekspertiisitaotluses esitab kostja </w:t>
      </w:r>
      <w:r w:rsidRPr="006D5133">
        <w:rPr>
          <w:rFonts w:asciiTheme="majorHAnsi" w:hAnsiTheme="majorHAnsi" w:cs="Calibri Light"/>
          <w:i/>
          <w:sz w:val="20"/>
          <w:szCs w:val="20"/>
        </w:rPr>
        <w:t>selge vii</w:t>
      </w:r>
      <w:r w:rsidRPr="00B11558">
        <w:rPr>
          <w:rFonts w:asciiTheme="majorHAnsi" w:hAnsiTheme="majorHAnsi" w:cs="Calibri Light"/>
          <w:i/>
          <w:sz w:val="20"/>
          <w:szCs w:val="20"/>
        </w:rPr>
        <w:t>t</w:t>
      </w:r>
      <w:r w:rsidRPr="006D5133">
        <w:rPr>
          <w:rFonts w:asciiTheme="majorHAnsi" w:hAnsiTheme="majorHAnsi" w:cs="Calibri Light"/>
          <w:i/>
          <w:sz w:val="20"/>
          <w:szCs w:val="20"/>
        </w:rPr>
        <w:t xml:space="preserve">e, millist </w:t>
      </w:r>
      <w:r w:rsidRPr="00B11558">
        <w:rPr>
          <w:rFonts w:asciiTheme="majorHAnsi" w:hAnsiTheme="majorHAnsi" w:cs="Calibri Light"/>
          <w:i/>
          <w:sz w:val="20"/>
          <w:szCs w:val="20"/>
        </w:rPr>
        <w:t>enda</w:t>
      </w:r>
      <w:r w:rsidRPr="006D5133">
        <w:rPr>
          <w:rFonts w:asciiTheme="majorHAnsi" w:hAnsiTheme="majorHAnsi" w:cs="Calibri Light"/>
          <w:i/>
          <w:sz w:val="20"/>
          <w:szCs w:val="20"/>
        </w:rPr>
        <w:t xml:space="preserve"> </w:t>
      </w:r>
      <w:r w:rsidRPr="00B11558">
        <w:rPr>
          <w:rFonts w:asciiTheme="majorHAnsi" w:hAnsiTheme="majorHAnsi" w:cs="Calibri Light"/>
          <w:i/>
          <w:sz w:val="20"/>
          <w:szCs w:val="20"/>
        </w:rPr>
        <w:t xml:space="preserve">esitatud asjaolu soovib ta ekspertiisiga tõendada ja millised küsimused selleks eksperdile esitada. Samuti märgib kostja ekspertiisi liigi ning kui </w:t>
      </w:r>
      <w:r>
        <w:rPr>
          <w:rFonts w:asciiTheme="majorHAnsi" w:hAnsiTheme="majorHAnsi" w:cs="Calibri Light"/>
          <w:i/>
          <w:sz w:val="20"/>
          <w:szCs w:val="20"/>
        </w:rPr>
        <w:t>tal</w:t>
      </w:r>
      <w:r w:rsidRPr="00B11558">
        <w:rPr>
          <w:rFonts w:asciiTheme="majorHAnsi" w:hAnsiTheme="majorHAnsi" w:cs="Calibri Light"/>
          <w:i/>
          <w:sz w:val="20"/>
          <w:szCs w:val="20"/>
        </w:rPr>
        <w:t xml:space="preserve"> on eksperdi isiku suhtes eelistusi, siis vastava</w:t>
      </w:r>
      <w:r w:rsidRPr="006D5133">
        <w:rPr>
          <w:rFonts w:asciiTheme="majorHAnsi" w:hAnsiTheme="majorHAnsi" w:cs="Calibri Light"/>
          <w:i/>
          <w:sz w:val="20"/>
          <w:szCs w:val="20"/>
        </w:rPr>
        <w:t xml:space="preserve"> kandidaa</w:t>
      </w:r>
      <w:r w:rsidRPr="00B11558">
        <w:rPr>
          <w:rFonts w:asciiTheme="majorHAnsi" w:hAnsiTheme="majorHAnsi" w:cs="Calibri Light"/>
          <w:i/>
          <w:sz w:val="20"/>
          <w:szCs w:val="20"/>
        </w:rPr>
        <w:t>di või kandidaadid koos märkega selle kohta</w:t>
      </w:r>
      <w:r w:rsidRPr="006D5133">
        <w:rPr>
          <w:rFonts w:asciiTheme="majorHAnsi" w:hAnsiTheme="majorHAnsi" w:cs="Calibri Light"/>
          <w:i/>
          <w:sz w:val="20"/>
          <w:szCs w:val="20"/>
        </w:rPr>
        <w:t xml:space="preserve">, kas kostja on </w:t>
      </w:r>
      <w:r w:rsidRPr="00B11558">
        <w:rPr>
          <w:rFonts w:asciiTheme="majorHAnsi" w:hAnsiTheme="majorHAnsi" w:cs="Calibri Light"/>
          <w:i/>
          <w:sz w:val="20"/>
          <w:szCs w:val="20"/>
        </w:rPr>
        <w:t>selle kandidaadiga ekspertiisi võimalikkuse teemal suhelnud ja mis on ekspertiisi eeldatav maksumus;</w:t>
      </w:r>
    </w:p>
    <w:p w:rsidR="00AD5585" w:rsidRPr="00B11558"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Calibri Light"/>
          <w:i/>
          <w:sz w:val="20"/>
          <w:szCs w:val="20"/>
        </w:rPr>
      </w:pPr>
      <w:r w:rsidRPr="00B11558">
        <w:rPr>
          <w:rFonts w:asciiTheme="majorHAnsi" w:hAnsiTheme="majorHAnsi" w:cs="Calibri Light"/>
          <w:i/>
          <w:sz w:val="20"/>
          <w:szCs w:val="20"/>
        </w:rPr>
        <w:t>- kui kostja taotleb asjaolude tõendamiseks tunnistaja ülekuulamist või poolelt vande all seletuse võtmist, esitab ta taotluses selge viit</w:t>
      </w:r>
      <w:r w:rsidRPr="006D5133">
        <w:rPr>
          <w:rFonts w:asciiTheme="majorHAnsi" w:hAnsiTheme="majorHAnsi" w:cs="Calibri Light"/>
          <w:i/>
          <w:sz w:val="20"/>
          <w:szCs w:val="20"/>
        </w:rPr>
        <w:t xml:space="preserve">e, milliseid konkreetseid kostja vastuse I jaos </w:t>
      </w:r>
      <w:r w:rsidRPr="00B11558">
        <w:rPr>
          <w:rFonts w:asciiTheme="majorHAnsi" w:hAnsiTheme="majorHAnsi" w:cs="Calibri Light"/>
          <w:i/>
          <w:sz w:val="20"/>
          <w:szCs w:val="20"/>
        </w:rPr>
        <w:t>nimetatud</w:t>
      </w:r>
      <w:r w:rsidRPr="006D5133">
        <w:rPr>
          <w:rFonts w:asciiTheme="majorHAnsi" w:hAnsiTheme="majorHAnsi" w:cs="Calibri Light"/>
          <w:i/>
          <w:sz w:val="20"/>
          <w:szCs w:val="20"/>
        </w:rPr>
        <w:t xml:space="preserve"> </w:t>
      </w:r>
      <w:r w:rsidRPr="00B11558">
        <w:rPr>
          <w:rFonts w:asciiTheme="majorHAnsi" w:hAnsiTheme="majorHAnsi" w:cs="Calibri Light"/>
          <w:i/>
          <w:sz w:val="20"/>
          <w:szCs w:val="20"/>
        </w:rPr>
        <w:t xml:space="preserve">asjaolusid soovib </w:t>
      </w:r>
      <w:r w:rsidRPr="006D5133">
        <w:rPr>
          <w:rFonts w:asciiTheme="majorHAnsi" w:hAnsiTheme="majorHAnsi" w:cs="Calibri Light"/>
          <w:i/>
          <w:sz w:val="20"/>
          <w:szCs w:val="20"/>
        </w:rPr>
        <w:t>ta</w:t>
      </w:r>
      <w:r w:rsidRPr="00B11558">
        <w:rPr>
          <w:rFonts w:asciiTheme="majorHAnsi" w:hAnsiTheme="majorHAnsi" w:cs="Calibri Light"/>
          <w:i/>
          <w:sz w:val="20"/>
          <w:szCs w:val="20"/>
        </w:rPr>
        <w:t xml:space="preserve"> ütlustega tõendada.</w:t>
      </w:r>
    </w:p>
    <w:p w:rsidR="00AD5585" w:rsidRPr="00C8766F" w:rsidRDefault="00AD5585" w:rsidP="00AD5585">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B11558">
        <w:rPr>
          <w:rFonts w:asciiTheme="majorHAnsi" w:hAnsiTheme="majorHAnsi" w:cstheme="majorHAnsi"/>
        </w:rPr>
        <w:t>…</w:t>
      </w:r>
    </w:p>
    <w:p w:rsidR="00AD5585" w:rsidRPr="006D5133" w:rsidRDefault="00AD5585" w:rsidP="00AD5585">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6D5133">
        <w:rPr>
          <w:rFonts w:asciiTheme="majorHAnsi" w:hAnsiTheme="majorHAnsi" w:cstheme="majorHAnsi"/>
        </w:rPr>
        <w:t>…</w:t>
      </w:r>
    </w:p>
    <w:p w:rsidR="00AD5585" w:rsidRPr="009457A9" w:rsidRDefault="00AD5585" w:rsidP="00AD5585">
      <w:pPr>
        <w:pStyle w:val="Body"/>
        <w:spacing w:before="0" w:after="120" w:line="240" w:lineRule="auto"/>
        <w:rPr>
          <w:rFonts w:asciiTheme="majorHAnsi" w:hAnsiTheme="majorHAnsi" w:cstheme="majorHAnsi"/>
          <w:b/>
          <w:i/>
        </w:rPr>
      </w:pPr>
    </w:p>
    <w:p w:rsidR="00AD5585" w:rsidRPr="009457A9" w:rsidRDefault="00AD5585" w:rsidP="00AD5585">
      <w:pPr>
        <w:pStyle w:val="Body"/>
        <w:spacing w:before="0" w:after="120" w:line="240" w:lineRule="auto"/>
        <w:rPr>
          <w:rFonts w:asciiTheme="majorHAnsi" w:hAnsiTheme="majorHAnsi" w:cstheme="majorHAnsi"/>
          <w:b/>
          <w:i/>
        </w:rPr>
      </w:pPr>
      <w:r w:rsidRPr="009457A9">
        <w:rPr>
          <w:rFonts w:asciiTheme="majorHAnsi" w:hAnsiTheme="majorHAnsi" w:cstheme="majorHAnsi"/>
          <w:b/>
          <w:i/>
        </w:rPr>
        <w:t xml:space="preserve">Menetluslikud küsimused </w:t>
      </w:r>
    </w:p>
    <w:p w:rsidR="00AD5585" w:rsidRPr="003F21DD"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3F21DD">
        <w:rPr>
          <w:rFonts w:asciiTheme="majorHAnsi" w:hAnsiTheme="majorHAnsi" w:cstheme="majorHAnsi"/>
          <w:i/>
          <w:sz w:val="20"/>
          <w:szCs w:val="20"/>
        </w:rPr>
        <w:t>Siin käsitletakse järgmisi menetluslikke küsimusi:</w:t>
      </w:r>
    </w:p>
    <w:p w:rsidR="00AD5585" w:rsidRPr="003F21DD"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3F21DD">
        <w:rPr>
          <w:rFonts w:asciiTheme="majorHAnsi" w:hAnsiTheme="majorHAnsi" w:cstheme="majorHAnsi"/>
          <w:i/>
          <w:sz w:val="20"/>
          <w:szCs w:val="20"/>
        </w:rPr>
        <w:t>- kas kirjalik või suuline menetlus;</w:t>
      </w:r>
    </w:p>
    <w:p w:rsidR="00AD5585" w:rsidRPr="003F21DD"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3F21DD">
        <w:rPr>
          <w:rFonts w:asciiTheme="majorHAnsi" w:hAnsiTheme="majorHAnsi" w:cstheme="majorHAnsi"/>
          <w:i/>
          <w:sz w:val="20"/>
          <w:szCs w:val="20"/>
        </w:rPr>
        <w:t>- kas kostja taotleb kolmanda isiku ja/või järelevalve funktsiooniga isiku kaasamist;</w:t>
      </w:r>
    </w:p>
    <w:p w:rsidR="00AD5585" w:rsidRPr="003F21DD"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3F21DD">
        <w:rPr>
          <w:rFonts w:asciiTheme="majorHAnsi" w:hAnsiTheme="majorHAnsi" w:cstheme="majorHAnsi"/>
          <w:i/>
          <w:sz w:val="20"/>
          <w:szCs w:val="20"/>
        </w:rPr>
        <w:t>- vajaduse korral menetluskulude tagatise taotlus, kui seda pole esitatud varem;</w:t>
      </w:r>
    </w:p>
    <w:p w:rsidR="00AD5585" w:rsidRPr="009457A9" w:rsidRDefault="00AD5585" w:rsidP="00AD5585">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0" w:after="120" w:line="240" w:lineRule="auto"/>
        <w:jc w:val="both"/>
        <w:rPr>
          <w:rFonts w:asciiTheme="majorHAnsi" w:hAnsiTheme="majorHAnsi" w:cstheme="majorHAnsi"/>
          <w:i/>
          <w:sz w:val="20"/>
          <w:szCs w:val="20"/>
        </w:rPr>
      </w:pPr>
      <w:r w:rsidRPr="003F21DD">
        <w:rPr>
          <w:rFonts w:asciiTheme="majorHAnsi" w:hAnsiTheme="majorHAnsi" w:cstheme="majorHAnsi"/>
          <w:i/>
          <w:sz w:val="20"/>
          <w:szCs w:val="20"/>
        </w:rPr>
        <w:t>- muud menetluslikud küsimused, taotlused ja taotluste põhjendused, mida ei ole eespool käsitletud.</w:t>
      </w:r>
    </w:p>
    <w:p w:rsidR="00AD5585" w:rsidRPr="009457A9" w:rsidRDefault="00AD5585" w:rsidP="00AD5585">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w:t>
      </w:r>
    </w:p>
    <w:p w:rsidR="00AD5585" w:rsidRPr="009457A9" w:rsidRDefault="00AD5585" w:rsidP="00AD5585">
      <w:pPr>
        <w:pStyle w:val="Body"/>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0" w:after="120" w:line="240" w:lineRule="auto"/>
        <w:rPr>
          <w:rFonts w:asciiTheme="majorHAnsi" w:hAnsiTheme="majorHAnsi" w:cstheme="majorHAnsi"/>
        </w:rPr>
      </w:pPr>
      <w:r w:rsidRPr="009457A9">
        <w:rPr>
          <w:rFonts w:asciiTheme="majorHAnsi" w:hAnsiTheme="majorHAnsi" w:cstheme="majorHAnsi"/>
        </w:rPr>
        <w:t>…</w:t>
      </w:r>
    </w:p>
    <w:p w:rsidR="00AD5585" w:rsidRPr="009457A9" w:rsidRDefault="00AD5585" w:rsidP="00AD5585">
      <w:pPr>
        <w:pStyle w:val="Body"/>
        <w:spacing w:before="0" w:after="120" w:line="240" w:lineRule="auto"/>
        <w:rPr>
          <w:rFonts w:asciiTheme="majorHAnsi" w:hAnsiTheme="majorHAnsi" w:cstheme="majorHAnsi"/>
        </w:rPr>
      </w:pPr>
    </w:p>
    <w:p w:rsidR="00AD5585" w:rsidRPr="009457A9" w:rsidRDefault="00AD5585" w:rsidP="00AD5585">
      <w:pPr>
        <w:pStyle w:val="Body"/>
        <w:spacing w:before="0" w:after="120" w:line="240" w:lineRule="auto"/>
        <w:rPr>
          <w:rFonts w:asciiTheme="majorHAnsi" w:hAnsiTheme="majorHAnsi" w:cstheme="majorHAnsi"/>
        </w:rPr>
      </w:pPr>
      <w:r w:rsidRPr="009457A9">
        <w:rPr>
          <w:rFonts w:asciiTheme="majorHAnsi" w:hAnsiTheme="majorHAnsi" w:cstheme="majorHAnsi"/>
        </w:rPr>
        <w:t>Allkiri</w:t>
      </w:r>
    </w:p>
    <w:p w:rsidR="00AD5585" w:rsidRPr="009457A9" w:rsidRDefault="00AD5585" w:rsidP="00AD5585">
      <w:pPr>
        <w:pStyle w:val="Body"/>
        <w:spacing w:before="0" w:after="120" w:line="240" w:lineRule="auto"/>
        <w:rPr>
          <w:rFonts w:asciiTheme="majorHAnsi" w:hAnsiTheme="majorHAnsi" w:cstheme="majorHAnsi"/>
        </w:rPr>
      </w:pPr>
      <w:r w:rsidRPr="009457A9">
        <w:rPr>
          <w:rFonts w:asciiTheme="majorHAnsi" w:hAnsiTheme="majorHAnsi" w:cstheme="majorHAnsi"/>
        </w:rPr>
        <w:t>Lisad</w:t>
      </w:r>
    </w:p>
    <w:p w:rsidR="00AD5585" w:rsidRPr="00A8595F" w:rsidRDefault="00AD5585" w:rsidP="00AD5585">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A8595F">
        <w:rPr>
          <w:rFonts w:asciiTheme="majorHAnsi" w:eastAsia="Times New Roman" w:hAnsiTheme="majorHAnsi" w:cstheme="majorHAnsi"/>
          <w:i/>
          <w:sz w:val="20"/>
        </w:rPr>
        <w:t>Lisade loetelus antakse kõik menetlusdokumendis viidatud lisad. Lisad nummerdatakse. Elektroonilisel esitamisel kajastatakse failinimes menetlusdokumendi kuupäev ja nimi, see, mille lisaga on tegu, ja lisa number.</w:t>
      </w:r>
    </w:p>
    <w:p w:rsidR="00AD5585" w:rsidRPr="00A8595F" w:rsidRDefault="00AD5585" w:rsidP="00AD5585">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A8595F">
        <w:rPr>
          <w:rFonts w:asciiTheme="majorHAnsi" w:eastAsia="Times New Roman" w:hAnsiTheme="majorHAnsi" w:cstheme="majorHAnsi"/>
          <w:i/>
          <w:sz w:val="20"/>
        </w:rPr>
        <w:t>Lisade loetelus ei kajastata ja hageja arvamusele ei lisata dokumente, millele ei ole menetlusdokumendis viidatud.</w:t>
      </w:r>
    </w:p>
    <w:p w:rsidR="00AD5585" w:rsidRPr="00A8595F" w:rsidRDefault="00AD5585" w:rsidP="00AD5585">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A8595F">
        <w:rPr>
          <w:rFonts w:asciiTheme="majorHAnsi" w:eastAsia="Times New Roman" w:hAnsiTheme="majorHAnsi" w:cstheme="majorHAnsi"/>
          <w:i/>
          <w:sz w:val="20"/>
        </w:rPr>
        <w:t>Lisad peavad olema komplekssed ja loetavad.</w:t>
      </w:r>
    </w:p>
    <w:p w:rsidR="00AD5585" w:rsidRPr="0010037B" w:rsidRDefault="00AD5585" w:rsidP="00AD5585">
      <w:pPr>
        <w:pBdr>
          <w:top w:val="single" w:sz="4" w:space="1" w:color="auto"/>
          <w:left w:val="single" w:sz="4" w:space="4" w:color="auto"/>
          <w:bottom w:val="single" w:sz="4" w:space="1" w:color="auto"/>
          <w:right w:val="single" w:sz="4" w:space="4" w:color="auto"/>
        </w:pBdr>
        <w:spacing w:after="120"/>
        <w:ind w:left="45"/>
        <w:jc w:val="both"/>
        <w:rPr>
          <w:rFonts w:asciiTheme="majorHAnsi" w:eastAsia="Times New Roman" w:hAnsiTheme="majorHAnsi" w:cstheme="majorHAnsi"/>
          <w:i/>
          <w:sz w:val="20"/>
        </w:rPr>
      </w:pPr>
      <w:r w:rsidRPr="00A8595F">
        <w:rPr>
          <w:rFonts w:asciiTheme="majorHAnsi" w:eastAsia="Times New Roman" w:hAnsiTheme="majorHAnsi" w:cstheme="majorHAnsi"/>
          <w:i/>
          <w:sz w:val="20"/>
        </w:rPr>
        <w:t>Võõrkeelsed lisad esitatakse koos tõlkega. Kui dokumendi täismahus tõlkimine on ilmselgelt ebavajalik või esineb tõlkimisel muu põhjus või takistus, selgitatakse seda dokumendi II osas.</w:t>
      </w:r>
    </w:p>
    <w:p w:rsidR="00AD5585" w:rsidRPr="006D5133" w:rsidRDefault="00AD5585" w:rsidP="00AD5585">
      <w:pPr>
        <w:rPr>
          <w:rFonts w:ascii="Arial" w:hAnsi="Arial" w:cs="Arial"/>
          <w:b/>
          <w:sz w:val="20"/>
          <w:szCs w:val="20"/>
        </w:rPr>
      </w:pPr>
      <w:r w:rsidRPr="006D5133">
        <w:rPr>
          <w:rFonts w:ascii="Arial" w:hAnsi="Arial" w:cs="Arial"/>
          <w:b/>
          <w:sz w:val="20"/>
          <w:szCs w:val="20"/>
        </w:rPr>
        <w:br w:type="page"/>
      </w:r>
    </w:p>
    <w:p w:rsidR="00F158F9" w:rsidRPr="00AD5585" w:rsidRDefault="00F158F9" w:rsidP="00AD5585">
      <w:bookmarkStart w:id="0" w:name="_GoBack"/>
      <w:bookmarkEnd w:id="0"/>
    </w:p>
    <w:sectPr w:rsidR="00F158F9" w:rsidRPr="00AD5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334"/>
    <w:multiLevelType w:val="multilevel"/>
    <w:tmpl w:val="191466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136C5D"/>
    <w:multiLevelType w:val="multilevel"/>
    <w:tmpl w:val="48B2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E9D7064"/>
    <w:multiLevelType w:val="multilevel"/>
    <w:tmpl w:val="5E963E3E"/>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9676074"/>
    <w:multiLevelType w:val="multilevel"/>
    <w:tmpl w:val="656403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F4158F9"/>
    <w:multiLevelType w:val="multilevel"/>
    <w:tmpl w:val="B3544F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8856518"/>
    <w:multiLevelType w:val="hybridMultilevel"/>
    <w:tmpl w:val="5CBC2CB4"/>
    <w:numStyleLink w:val="Numbered"/>
  </w:abstractNum>
  <w:abstractNum w:abstractNumId="6">
    <w:nsid w:val="4CE36CEC"/>
    <w:multiLevelType w:val="multilevel"/>
    <w:tmpl w:val="50F420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E4F3E21"/>
    <w:multiLevelType w:val="hybridMultilevel"/>
    <w:tmpl w:val="5CBC2CB4"/>
    <w:styleLink w:val="Numbered"/>
    <w:lvl w:ilvl="0" w:tplc="691A9F7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05C0D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630AC6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66266F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33E24C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ADA9EF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9D0146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54ED4D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B48127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6"/>
  </w:num>
  <w:num w:numId="3">
    <w:abstractNumId w:val="4"/>
  </w:num>
  <w:num w:numId="4">
    <w:abstractNumId w:val="7"/>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53"/>
    <w:rsid w:val="00AD5585"/>
    <w:rsid w:val="00BE5153"/>
    <w:rsid w:val="00F15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E5153"/>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eastAsia="et-EE"/>
    </w:rPr>
  </w:style>
  <w:style w:type="table" w:styleId="TableGrid">
    <w:name w:val="Table Grid"/>
    <w:basedOn w:val="TableNormal"/>
    <w:uiPriority w:val="39"/>
    <w:rsid w:val="00BE515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AD558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1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E5153"/>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eastAsia="et-EE"/>
    </w:rPr>
  </w:style>
  <w:style w:type="table" w:styleId="TableGrid">
    <w:name w:val="Table Grid"/>
    <w:basedOn w:val="TableNormal"/>
    <w:uiPriority w:val="39"/>
    <w:rsid w:val="00BE515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AD558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Lallo</dc:creator>
  <cp:lastModifiedBy>Maris Lallo</cp:lastModifiedBy>
  <cp:revision>2</cp:revision>
  <dcterms:created xsi:type="dcterms:W3CDTF">2016-12-21T13:45:00Z</dcterms:created>
  <dcterms:modified xsi:type="dcterms:W3CDTF">2016-12-21T13:45:00Z</dcterms:modified>
</cp:coreProperties>
</file>