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CFFEF" w14:textId="77777777" w:rsidR="00AD7868" w:rsidRPr="00062129" w:rsidRDefault="00AD7868" w:rsidP="00062129">
      <w:pPr>
        <w:jc w:val="both"/>
        <w:rPr>
          <w:b/>
          <w:color w:val="auto"/>
          <w:szCs w:val="24"/>
        </w:rPr>
      </w:pPr>
    </w:p>
    <w:p w14:paraId="42514557" w14:textId="77777777" w:rsidR="00485315" w:rsidRPr="00062129" w:rsidRDefault="00485315" w:rsidP="00062129">
      <w:pPr>
        <w:jc w:val="both"/>
        <w:rPr>
          <w:b/>
          <w:color w:val="auto"/>
          <w:szCs w:val="24"/>
        </w:rPr>
      </w:pPr>
    </w:p>
    <w:p w14:paraId="20DBFFDD" w14:textId="0DF31071" w:rsidR="00B97939" w:rsidRPr="00062129" w:rsidRDefault="009D28EA" w:rsidP="00062129">
      <w:pPr>
        <w:jc w:val="both"/>
        <w:rPr>
          <w:rFonts w:eastAsia="Times New Roman"/>
          <w:b/>
          <w:color w:val="auto"/>
          <w:szCs w:val="24"/>
        </w:rPr>
      </w:pPr>
      <w:r w:rsidRPr="00062129">
        <w:rPr>
          <w:rFonts w:eastAsia="Times New Roman"/>
          <w:b/>
          <w:color w:val="auto"/>
          <w:szCs w:val="24"/>
        </w:rPr>
        <w:t xml:space="preserve">Lp </w:t>
      </w:r>
      <w:r w:rsidR="008B5A02" w:rsidRPr="00062129">
        <w:rPr>
          <w:rFonts w:eastAsia="Times New Roman"/>
          <w:b/>
          <w:color w:val="auto"/>
          <w:szCs w:val="24"/>
        </w:rPr>
        <w:t>Tanel Kiik</w:t>
      </w:r>
    </w:p>
    <w:p w14:paraId="5C85A6D2" w14:textId="7F8C3EFC" w:rsidR="00096EEB" w:rsidRPr="00062129" w:rsidRDefault="008B5A02" w:rsidP="00062129">
      <w:pPr>
        <w:jc w:val="both"/>
        <w:rPr>
          <w:rFonts w:eastAsia="Times New Roman"/>
          <w:bCs/>
          <w:color w:val="auto"/>
          <w:szCs w:val="24"/>
        </w:rPr>
      </w:pPr>
      <w:r w:rsidRPr="00062129">
        <w:rPr>
          <w:rFonts w:eastAsia="Times New Roman"/>
          <w:bCs/>
          <w:color w:val="auto"/>
          <w:szCs w:val="24"/>
        </w:rPr>
        <w:t>Sotsiaalminister</w:t>
      </w:r>
      <w:r w:rsidR="00096EEB" w:rsidRPr="00062129">
        <w:rPr>
          <w:rFonts w:eastAsia="Times New Roman"/>
          <w:bCs/>
          <w:color w:val="auto"/>
          <w:szCs w:val="24"/>
        </w:rPr>
        <w:tab/>
      </w:r>
      <w:r w:rsidR="00096EEB" w:rsidRPr="00062129">
        <w:rPr>
          <w:rFonts w:eastAsia="Times New Roman"/>
          <w:bCs/>
          <w:color w:val="auto"/>
          <w:szCs w:val="24"/>
        </w:rPr>
        <w:tab/>
      </w:r>
      <w:r w:rsidR="009D28EA" w:rsidRPr="00062129">
        <w:rPr>
          <w:rFonts w:eastAsia="Times New Roman"/>
          <w:bCs/>
          <w:color w:val="auto"/>
          <w:szCs w:val="24"/>
        </w:rPr>
        <w:t xml:space="preserve">               </w:t>
      </w:r>
      <w:r w:rsidRPr="00062129">
        <w:rPr>
          <w:rFonts w:eastAsia="Times New Roman"/>
          <w:bCs/>
          <w:color w:val="auto"/>
          <w:szCs w:val="24"/>
        </w:rPr>
        <w:t xml:space="preserve">                                         </w:t>
      </w:r>
      <w:r w:rsidR="00096EEB" w:rsidRPr="00062129">
        <w:rPr>
          <w:rFonts w:eastAsia="Times New Roman"/>
          <w:bCs/>
          <w:color w:val="auto"/>
          <w:szCs w:val="24"/>
        </w:rPr>
        <w:t xml:space="preserve">Teie </w:t>
      </w:r>
      <w:r w:rsidRPr="00062129">
        <w:rPr>
          <w:rFonts w:eastAsia="Times New Roman"/>
          <w:bCs/>
          <w:color w:val="auto"/>
          <w:szCs w:val="24"/>
        </w:rPr>
        <w:t>18.02</w:t>
      </w:r>
      <w:r w:rsidR="00096EEB" w:rsidRPr="00062129">
        <w:rPr>
          <w:rFonts w:eastAsia="Times New Roman"/>
          <w:bCs/>
          <w:color w:val="auto"/>
          <w:szCs w:val="24"/>
        </w:rPr>
        <w:t>.20</w:t>
      </w:r>
      <w:r w:rsidR="00644339" w:rsidRPr="00062129">
        <w:rPr>
          <w:rFonts w:eastAsia="Times New Roman"/>
          <w:bCs/>
          <w:color w:val="auto"/>
          <w:szCs w:val="24"/>
        </w:rPr>
        <w:t>20</w:t>
      </w:r>
      <w:r w:rsidR="00096EEB" w:rsidRPr="00062129">
        <w:rPr>
          <w:rFonts w:eastAsia="Times New Roman"/>
          <w:bCs/>
          <w:color w:val="auto"/>
          <w:szCs w:val="24"/>
        </w:rPr>
        <w:t xml:space="preserve"> nr </w:t>
      </w:r>
      <w:r w:rsidRPr="00062129">
        <w:rPr>
          <w:rFonts w:eastAsia="Times New Roman"/>
          <w:bCs/>
          <w:color w:val="auto"/>
          <w:szCs w:val="24"/>
        </w:rPr>
        <w:t>1.2-2/15-1</w:t>
      </w:r>
    </w:p>
    <w:p w14:paraId="194D4C84" w14:textId="357B5B84" w:rsidR="009D28EA" w:rsidRPr="00062129" w:rsidRDefault="008B5A02" w:rsidP="00062129">
      <w:pPr>
        <w:jc w:val="both"/>
        <w:rPr>
          <w:rFonts w:eastAsia="Times New Roman"/>
          <w:bCs/>
          <w:szCs w:val="24"/>
        </w:rPr>
      </w:pPr>
      <w:r w:rsidRPr="00062129">
        <w:rPr>
          <w:rFonts w:eastAsia="Times New Roman"/>
          <w:bCs/>
          <w:szCs w:val="24"/>
        </w:rPr>
        <w:t>Sotsiaalministeerium</w:t>
      </w:r>
    </w:p>
    <w:p w14:paraId="3808CCD8" w14:textId="2E443D55" w:rsidR="00096EEB" w:rsidRPr="00062129" w:rsidRDefault="008B5A02" w:rsidP="00062129">
      <w:pPr>
        <w:jc w:val="both"/>
        <w:rPr>
          <w:rFonts w:eastAsia="Times New Roman"/>
          <w:bCs/>
          <w:color w:val="auto"/>
          <w:szCs w:val="24"/>
        </w:rPr>
      </w:pPr>
      <w:hyperlink r:id="rId8" w:history="1">
        <w:r w:rsidRPr="00062129">
          <w:rPr>
            <w:rStyle w:val="Hyperlink"/>
            <w:rFonts w:eastAsia="Times New Roman"/>
            <w:bCs/>
            <w:szCs w:val="24"/>
          </w:rPr>
          <w:t>info@sm.ee</w:t>
        </w:r>
      </w:hyperlink>
      <w:r w:rsidR="00096EEB" w:rsidRPr="00062129">
        <w:rPr>
          <w:rFonts w:eastAsia="Times New Roman"/>
          <w:bCs/>
          <w:color w:val="auto"/>
          <w:szCs w:val="24"/>
        </w:rPr>
        <w:t xml:space="preserve"> </w:t>
      </w:r>
      <w:r w:rsidR="00096EEB" w:rsidRPr="00062129">
        <w:rPr>
          <w:rFonts w:eastAsia="Times New Roman"/>
          <w:bCs/>
          <w:color w:val="auto"/>
          <w:szCs w:val="24"/>
        </w:rPr>
        <w:tab/>
      </w:r>
      <w:r w:rsidR="00096EEB" w:rsidRPr="00062129">
        <w:rPr>
          <w:rFonts w:eastAsia="Times New Roman"/>
          <w:bCs/>
          <w:color w:val="auto"/>
          <w:szCs w:val="24"/>
        </w:rPr>
        <w:tab/>
      </w:r>
      <w:r w:rsidR="00096EEB" w:rsidRPr="00062129">
        <w:rPr>
          <w:rFonts w:eastAsia="Times New Roman"/>
          <w:bCs/>
          <w:color w:val="auto"/>
          <w:szCs w:val="24"/>
        </w:rPr>
        <w:tab/>
      </w:r>
      <w:r w:rsidR="00096EEB" w:rsidRPr="00062129">
        <w:rPr>
          <w:rFonts w:eastAsia="Times New Roman"/>
          <w:bCs/>
          <w:color w:val="auto"/>
          <w:szCs w:val="24"/>
        </w:rPr>
        <w:tab/>
      </w:r>
      <w:r w:rsidR="00644339" w:rsidRPr="00062129">
        <w:rPr>
          <w:rFonts w:eastAsia="Times New Roman"/>
          <w:bCs/>
          <w:color w:val="auto"/>
          <w:szCs w:val="24"/>
        </w:rPr>
        <w:t xml:space="preserve"> </w:t>
      </w:r>
      <w:r w:rsidRPr="00062129">
        <w:rPr>
          <w:rFonts w:eastAsia="Times New Roman"/>
          <w:bCs/>
          <w:color w:val="auto"/>
          <w:szCs w:val="24"/>
        </w:rPr>
        <w:t xml:space="preserve">                             </w:t>
      </w:r>
      <w:r w:rsidR="00644339" w:rsidRPr="00062129">
        <w:rPr>
          <w:rFonts w:eastAsia="Times New Roman"/>
          <w:bCs/>
          <w:color w:val="auto"/>
          <w:szCs w:val="24"/>
        </w:rPr>
        <w:t xml:space="preserve">  </w:t>
      </w:r>
      <w:r w:rsidRPr="00062129">
        <w:rPr>
          <w:rFonts w:eastAsia="Times New Roman"/>
          <w:bCs/>
          <w:color w:val="auto"/>
          <w:szCs w:val="24"/>
        </w:rPr>
        <w:t xml:space="preserve">            </w:t>
      </w:r>
      <w:r w:rsidR="00096EEB" w:rsidRPr="00062129">
        <w:rPr>
          <w:rFonts w:eastAsia="Times New Roman"/>
          <w:bCs/>
          <w:color w:val="auto"/>
          <w:szCs w:val="24"/>
        </w:rPr>
        <w:t xml:space="preserve">Meie </w:t>
      </w:r>
      <w:r w:rsidRPr="00062129">
        <w:rPr>
          <w:rFonts w:eastAsia="Times New Roman"/>
          <w:bCs/>
          <w:color w:val="auto"/>
          <w:szCs w:val="24"/>
        </w:rPr>
        <w:t>11.03</w:t>
      </w:r>
      <w:r w:rsidR="00096EEB" w:rsidRPr="00062129">
        <w:rPr>
          <w:rFonts w:eastAsia="Times New Roman"/>
          <w:bCs/>
          <w:color w:val="auto"/>
          <w:szCs w:val="24"/>
        </w:rPr>
        <w:t>.20</w:t>
      </w:r>
      <w:r w:rsidR="00644339" w:rsidRPr="00062129">
        <w:rPr>
          <w:rFonts w:eastAsia="Times New Roman"/>
          <w:bCs/>
          <w:color w:val="auto"/>
          <w:szCs w:val="24"/>
        </w:rPr>
        <w:t>20</w:t>
      </w:r>
      <w:r w:rsidR="00096EEB" w:rsidRPr="00062129">
        <w:rPr>
          <w:rFonts w:eastAsia="Times New Roman"/>
          <w:bCs/>
          <w:color w:val="auto"/>
          <w:szCs w:val="24"/>
        </w:rPr>
        <w:t xml:space="preserve"> nr </w:t>
      </w:r>
      <w:r w:rsidR="00096EEB" w:rsidRPr="00062129">
        <w:rPr>
          <w:color w:val="auto"/>
          <w:szCs w:val="24"/>
          <w:lang w:eastAsia="en-US"/>
        </w:rPr>
        <w:t>1-8/</w:t>
      </w:r>
      <w:r w:rsidRPr="00062129">
        <w:rPr>
          <w:color w:val="auto"/>
          <w:szCs w:val="24"/>
          <w:lang w:eastAsia="en-US"/>
        </w:rPr>
        <w:t>240</w:t>
      </w:r>
      <w:r w:rsidR="00D45E92" w:rsidRPr="00062129">
        <w:rPr>
          <w:color w:val="auto"/>
          <w:szCs w:val="24"/>
          <w:lang w:eastAsia="en-US"/>
        </w:rPr>
        <w:t xml:space="preserve"> </w:t>
      </w:r>
    </w:p>
    <w:p w14:paraId="44A7458C" w14:textId="77777777" w:rsidR="00096EEB" w:rsidRPr="00062129" w:rsidRDefault="00096EEB" w:rsidP="00062129">
      <w:pPr>
        <w:jc w:val="both"/>
        <w:rPr>
          <w:rFonts w:eastAsiaTheme="minorHAnsi"/>
          <w:color w:val="auto"/>
          <w:szCs w:val="24"/>
          <w:lang w:eastAsia="en-US"/>
        </w:rPr>
      </w:pPr>
      <w:r w:rsidRPr="00062129">
        <w:rPr>
          <w:color w:val="auto"/>
          <w:szCs w:val="24"/>
        </w:rPr>
        <w:tab/>
      </w:r>
      <w:r w:rsidRPr="00062129">
        <w:rPr>
          <w:color w:val="auto"/>
          <w:szCs w:val="24"/>
        </w:rPr>
        <w:tab/>
      </w:r>
      <w:r w:rsidRPr="00062129">
        <w:rPr>
          <w:color w:val="auto"/>
          <w:szCs w:val="24"/>
        </w:rPr>
        <w:tab/>
      </w:r>
      <w:r w:rsidRPr="00062129">
        <w:rPr>
          <w:color w:val="auto"/>
          <w:szCs w:val="24"/>
        </w:rPr>
        <w:tab/>
        <w:t xml:space="preserve"> </w:t>
      </w:r>
      <w:r w:rsidRPr="00062129">
        <w:rPr>
          <w:color w:val="auto"/>
          <w:szCs w:val="24"/>
        </w:rPr>
        <w:tab/>
      </w:r>
    </w:p>
    <w:p w14:paraId="697A6535" w14:textId="77777777" w:rsidR="00C507EE" w:rsidRPr="00062129" w:rsidRDefault="00096EEB" w:rsidP="00062129">
      <w:pPr>
        <w:pStyle w:val="Default"/>
        <w:tabs>
          <w:tab w:val="left" w:pos="3969"/>
          <w:tab w:val="left" w:pos="4111"/>
          <w:tab w:val="left" w:pos="5245"/>
        </w:tabs>
        <w:jc w:val="both"/>
        <w:rPr>
          <w:color w:val="auto"/>
        </w:rPr>
      </w:pPr>
      <w:r w:rsidRPr="00062129">
        <w:rPr>
          <w:color w:val="auto"/>
        </w:rPr>
        <w:t xml:space="preserve">       </w:t>
      </w:r>
    </w:p>
    <w:p w14:paraId="5C359570" w14:textId="2B4AA3CB" w:rsidR="00096EEB" w:rsidRPr="00062129" w:rsidRDefault="00096EEB" w:rsidP="00062129">
      <w:pPr>
        <w:pStyle w:val="Default"/>
        <w:tabs>
          <w:tab w:val="left" w:pos="3969"/>
          <w:tab w:val="left" w:pos="4111"/>
          <w:tab w:val="left" w:pos="5245"/>
        </w:tabs>
        <w:jc w:val="both"/>
        <w:rPr>
          <w:color w:val="auto"/>
        </w:rPr>
      </w:pPr>
      <w:r w:rsidRPr="00062129">
        <w:rPr>
          <w:color w:val="auto"/>
        </w:rPr>
        <w:tab/>
      </w:r>
      <w:r w:rsidRPr="00062129">
        <w:rPr>
          <w:b/>
          <w:color w:val="auto"/>
        </w:rPr>
        <w:t xml:space="preserve"> </w:t>
      </w:r>
    </w:p>
    <w:p w14:paraId="0EB2E134" w14:textId="40F9BD39" w:rsidR="00096EEB" w:rsidRPr="00062129" w:rsidRDefault="008B5A02" w:rsidP="00062129">
      <w:pPr>
        <w:jc w:val="both"/>
        <w:rPr>
          <w:b/>
          <w:bCs/>
          <w:color w:val="auto"/>
          <w:szCs w:val="24"/>
        </w:rPr>
      </w:pPr>
      <w:r w:rsidRPr="00062129">
        <w:rPr>
          <w:b/>
          <w:bCs/>
          <w:color w:val="auto"/>
          <w:szCs w:val="24"/>
        </w:rPr>
        <w:t>Töövaidluse lahendamise seaduse muutmise seaduse eelnõu</w:t>
      </w:r>
    </w:p>
    <w:p w14:paraId="7F763080" w14:textId="77777777" w:rsidR="00096EEB" w:rsidRPr="00062129" w:rsidRDefault="00096EEB" w:rsidP="00062129">
      <w:pPr>
        <w:jc w:val="both"/>
        <w:rPr>
          <w:color w:val="auto"/>
          <w:szCs w:val="24"/>
        </w:rPr>
      </w:pPr>
    </w:p>
    <w:p w14:paraId="742F8992" w14:textId="77777777" w:rsidR="00096EEB" w:rsidRPr="00062129" w:rsidRDefault="00096EEB" w:rsidP="00062129">
      <w:pPr>
        <w:jc w:val="both"/>
        <w:rPr>
          <w:color w:val="auto"/>
          <w:szCs w:val="24"/>
        </w:rPr>
      </w:pPr>
    </w:p>
    <w:p w14:paraId="5EBD959B" w14:textId="0D4D596E" w:rsidR="00096EEB" w:rsidRPr="00062129" w:rsidRDefault="00096EEB" w:rsidP="00062129">
      <w:pPr>
        <w:jc w:val="both"/>
        <w:rPr>
          <w:color w:val="auto"/>
          <w:szCs w:val="24"/>
        </w:rPr>
      </w:pPr>
      <w:r w:rsidRPr="00062129">
        <w:rPr>
          <w:color w:val="auto"/>
          <w:szCs w:val="24"/>
        </w:rPr>
        <w:t xml:space="preserve">Lugupeetud </w:t>
      </w:r>
      <w:r w:rsidR="008B5A02" w:rsidRPr="00062129">
        <w:rPr>
          <w:color w:val="auto"/>
          <w:szCs w:val="24"/>
        </w:rPr>
        <w:t>sotsiaalminister</w:t>
      </w:r>
      <w:r w:rsidR="009D28EA" w:rsidRPr="00062129">
        <w:rPr>
          <w:color w:val="auto"/>
          <w:szCs w:val="24"/>
        </w:rPr>
        <w:t xml:space="preserve"> hr </w:t>
      </w:r>
      <w:r w:rsidR="008B5A02" w:rsidRPr="00062129">
        <w:rPr>
          <w:color w:val="auto"/>
          <w:szCs w:val="24"/>
        </w:rPr>
        <w:t>Tanel Kiik</w:t>
      </w:r>
    </w:p>
    <w:p w14:paraId="2A2146FB" w14:textId="77777777" w:rsidR="00096EEB" w:rsidRPr="00062129" w:rsidRDefault="00096EEB" w:rsidP="00062129">
      <w:pPr>
        <w:jc w:val="both"/>
        <w:rPr>
          <w:color w:val="auto"/>
          <w:szCs w:val="24"/>
        </w:rPr>
      </w:pPr>
    </w:p>
    <w:p w14:paraId="493FC7AF" w14:textId="5271FF85" w:rsidR="00F2672D" w:rsidRPr="00062129" w:rsidRDefault="00096EEB" w:rsidP="00062129">
      <w:pPr>
        <w:jc w:val="both"/>
        <w:rPr>
          <w:color w:val="auto"/>
          <w:szCs w:val="24"/>
        </w:rPr>
      </w:pPr>
      <w:r w:rsidRPr="00062129">
        <w:rPr>
          <w:color w:val="auto"/>
          <w:szCs w:val="24"/>
        </w:rPr>
        <w:t>Täna</w:t>
      </w:r>
      <w:r w:rsidR="00FD2712" w:rsidRPr="00062129">
        <w:rPr>
          <w:color w:val="auto"/>
          <w:szCs w:val="24"/>
        </w:rPr>
        <w:t>me</w:t>
      </w:r>
      <w:r w:rsidRPr="00062129">
        <w:rPr>
          <w:color w:val="auto"/>
          <w:szCs w:val="24"/>
        </w:rPr>
        <w:t xml:space="preserve">, et saatsite </w:t>
      </w:r>
      <w:r w:rsidR="008B5A02" w:rsidRPr="00062129">
        <w:rPr>
          <w:color w:val="auto"/>
          <w:szCs w:val="24"/>
        </w:rPr>
        <w:t>Eesti A</w:t>
      </w:r>
      <w:r w:rsidRPr="00062129">
        <w:rPr>
          <w:color w:val="auto"/>
          <w:szCs w:val="24"/>
        </w:rPr>
        <w:t xml:space="preserve">dvokatuurile arvamuse avaldamiseks </w:t>
      </w:r>
      <w:r w:rsidR="008B5A02" w:rsidRPr="00062129">
        <w:rPr>
          <w:color w:val="auto"/>
          <w:szCs w:val="24"/>
        </w:rPr>
        <w:t xml:space="preserve">töövaidluse lahendamise seaduse muutmise seaduse </w:t>
      </w:r>
      <w:r w:rsidR="001738DF" w:rsidRPr="00062129">
        <w:rPr>
          <w:color w:val="auto"/>
          <w:szCs w:val="24"/>
        </w:rPr>
        <w:t>eelnõu.</w:t>
      </w:r>
      <w:r w:rsidR="001738DF" w:rsidRPr="00062129">
        <w:rPr>
          <w:b/>
          <w:bCs/>
          <w:color w:val="auto"/>
          <w:szCs w:val="24"/>
        </w:rPr>
        <w:t xml:space="preserve"> </w:t>
      </w:r>
      <w:r w:rsidR="008B5A02" w:rsidRPr="00062129">
        <w:rPr>
          <w:color w:val="auto"/>
          <w:szCs w:val="24"/>
        </w:rPr>
        <w:t xml:space="preserve">Käesolevaga edastame Teile eelnõu osas advokatuuri tööõiguse komisjoni </w:t>
      </w:r>
      <w:r w:rsidR="00062129" w:rsidRPr="00062129">
        <w:rPr>
          <w:color w:val="auto"/>
          <w:szCs w:val="24"/>
        </w:rPr>
        <w:t xml:space="preserve">järgmised </w:t>
      </w:r>
      <w:r w:rsidR="008B5A02" w:rsidRPr="00062129">
        <w:rPr>
          <w:color w:val="auto"/>
          <w:szCs w:val="24"/>
        </w:rPr>
        <w:t>ettepanekud ja märkused.</w:t>
      </w:r>
    </w:p>
    <w:p w14:paraId="2E48E787" w14:textId="7A6483A7" w:rsidR="00062129" w:rsidRPr="00062129" w:rsidRDefault="00062129" w:rsidP="00062129">
      <w:pPr>
        <w:widowControl/>
        <w:suppressAutoHyphens w:val="0"/>
        <w:autoSpaceDE w:val="0"/>
        <w:adjustRightInd w:val="0"/>
        <w:jc w:val="both"/>
        <w:textAlignment w:val="auto"/>
        <w:rPr>
          <w:rFonts w:eastAsia="Calibri"/>
          <w:szCs w:val="24"/>
          <w:lang w:eastAsia="en-US"/>
        </w:rPr>
      </w:pPr>
    </w:p>
    <w:p w14:paraId="3DE70294" w14:textId="3FAC3873" w:rsidR="00062129" w:rsidRPr="00062129" w:rsidRDefault="00062129" w:rsidP="00062129">
      <w:pPr>
        <w:widowControl/>
        <w:suppressAutoHyphens w:val="0"/>
        <w:autoSpaceDE w:val="0"/>
        <w:adjustRightInd w:val="0"/>
        <w:jc w:val="both"/>
        <w:textAlignment w:val="auto"/>
        <w:rPr>
          <w:rFonts w:eastAsia="Calibri"/>
          <w:szCs w:val="24"/>
          <w:lang w:eastAsia="en-US"/>
        </w:rPr>
      </w:pPr>
      <w:r w:rsidRPr="00062129">
        <w:rPr>
          <w:rFonts w:eastAsia="Calibri"/>
          <w:szCs w:val="24"/>
          <w:lang w:eastAsia="en-US"/>
        </w:rPr>
        <w:t xml:space="preserve">1. </w:t>
      </w:r>
      <w:r w:rsidRPr="00062129">
        <w:rPr>
          <w:rFonts w:eastAsia="Calibri"/>
          <w:szCs w:val="24"/>
          <w:lang w:eastAsia="en-US"/>
        </w:rPr>
        <w:t xml:space="preserve">Eelnõu punktiga 7 täiendatakse </w:t>
      </w:r>
      <w:proofErr w:type="spellStart"/>
      <w:r w:rsidR="00E66BB8">
        <w:rPr>
          <w:rFonts w:eastAsia="Calibri"/>
          <w:szCs w:val="24"/>
          <w:lang w:eastAsia="en-US"/>
        </w:rPr>
        <w:t>TvLS</w:t>
      </w:r>
      <w:proofErr w:type="spellEnd"/>
      <w:r w:rsidRPr="00062129">
        <w:rPr>
          <w:rFonts w:eastAsia="Calibri"/>
          <w:szCs w:val="24"/>
          <w:lang w:eastAsia="en-US"/>
        </w:rPr>
        <w:t xml:space="preserve"> §-i 26 uue lõikega 5, mis võimaldab mitme avaldaja ühisavalduse esitamist töövaidluskomisjonile. Kavandatava täienduse sõnastus ei võimalda samas avalduse esitamist mitme vastustaja vastu. Võrdlusena </w:t>
      </w:r>
      <w:proofErr w:type="spellStart"/>
      <w:r w:rsidRPr="00062129">
        <w:rPr>
          <w:rFonts w:eastAsia="Calibri"/>
          <w:szCs w:val="24"/>
          <w:lang w:eastAsia="en-US"/>
        </w:rPr>
        <w:t>TsMS</w:t>
      </w:r>
      <w:proofErr w:type="spellEnd"/>
      <w:r w:rsidRPr="00062129">
        <w:rPr>
          <w:rFonts w:eastAsia="Calibri"/>
          <w:szCs w:val="24"/>
          <w:lang w:eastAsia="en-US"/>
        </w:rPr>
        <w:t xml:space="preserve"> § 207 lg 1 võimaldab nii mitme isiku ühist hagi kui ka hagi ühiselt mitme kostja vastu. </w:t>
      </w:r>
    </w:p>
    <w:p w14:paraId="34A2D978" w14:textId="77777777" w:rsidR="00205753" w:rsidRDefault="00205753" w:rsidP="00062129">
      <w:pPr>
        <w:widowControl/>
        <w:suppressAutoHyphens w:val="0"/>
        <w:autoSpaceDE w:val="0"/>
        <w:adjustRightInd w:val="0"/>
        <w:jc w:val="both"/>
        <w:textAlignment w:val="auto"/>
        <w:rPr>
          <w:rFonts w:eastAsia="Calibri"/>
          <w:szCs w:val="24"/>
          <w:lang w:eastAsia="en-US"/>
        </w:rPr>
      </w:pPr>
    </w:p>
    <w:p w14:paraId="625ACE1E" w14:textId="1467D907" w:rsidR="00062129" w:rsidRPr="00062129" w:rsidRDefault="0065131D" w:rsidP="00062129">
      <w:pPr>
        <w:widowControl/>
        <w:suppressAutoHyphens w:val="0"/>
        <w:autoSpaceDE w:val="0"/>
        <w:adjustRightInd w:val="0"/>
        <w:jc w:val="both"/>
        <w:textAlignment w:val="auto"/>
        <w:rPr>
          <w:rFonts w:eastAsia="Calibri"/>
          <w:szCs w:val="24"/>
          <w:lang w:eastAsia="en-US"/>
        </w:rPr>
      </w:pPr>
      <w:r>
        <w:rPr>
          <w:rFonts w:eastAsia="Calibri"/>
          <w:szCs w:val="24"/>
          <w:lang w:eastAsia="en-US"/>
        </w:rPr>
        <w:t>Ettepanek on</w:t>
      </w:r>
      <w:r w:rsidR="00062129" w:rsidRPr="00062129">
        <w:rPr>
          <w:rFonts w:eastAsia="Calibri"/>
          <w:szCs w:val="24"/>
          <w:lang w:eastAsia="en-US"/>
        </w:rPr>
        <w:t xml:space="preserve"> täiendada muudatuse sõnastust järgmiselt: „Mitu avaldajat võivad esitada ühisavalduse sama vastaspoole vastu või avalduse võib esitada ühiselt mitme vastaspoole vastu, kui /…/“ </w:t>
      </w:r>
    </w:p>
    <w:p w14:paraId="7F5086DD" w14:textId="77777777" w:rsidR="00205753" w:rsidRDefault="00205753" w:rsidP="00062129">
      <w:pPr>
        <w:jc w:val="both"/>
        <w:rPr>
          <w:rFonts w:eastAsia="Calibri"/>
          <w:szCs w:val="24"/>
          <w:lang w:eastAsia="en-US"/>
        </w:rPr>
      </w:pPr>
    </w:p>
    <w:p w14:paraId="61AA561F" w14:textId="4A411675" w:rsidR="001C38C1" w:rsidRPr="00062129" w:rsidRDefault="0065131D" w:rsidP="00062129">
      <w:pPr>
        <w:jc w:val="both"/>
        <w:rPr>
          <w:color w:val="auto"/>
          <w:szCs w:val="24"/>
        </w:rPr>
      </w:pPr>
      <w:r>
        <w:rPr>
          <w:rFonts w:eastAsia="Calibri"/>
          <w:szCs w:val="24"/>
          <w:lang w:eastAsia="en-US"/>
        </w:rPr>
        <w:t>M</w:t>
      </w:r>
      <w:r w:rsidR="00062129" w:rsidRPr="00062129">
        <w:rPr>
          <w:rFonts w:eastAsia="Calibri"/>
          <w:szCs w:val="24"/>
          <w:lang w:eastAsia="en-US"/>
        </w:rPr>
        <w:t xml:space="preserve">itme vastaspoole vastu </w:t>
      </w:r>
      <w:r w:rsidR="009860D9">
        <w:rPr>
          <w:rFonts w:eastAsia="Calibri"/>
          <w:szCs w:val="24"/>
          <w:lang w:eastAsia="en-US"/>
        </w:rPr>
        <w:t xml:space="preserve">on </w:t>
      </w:r>
      <w:r w:rsidR="00062129" w:rsidRPr="00062129">
        <w:rPr>
          <w:rFonts w:eastAsia="Calibri"/>
          <w:szCs w:val="24"/>
          <w:lang w:eastAsia="en-US"/>
        </w:rPr>
        <w:t>ühe avalduse esitamisel praktiline tähtsus paljudes elulistes olukordades, n</w:t>
      </w:r>
      <w:r w:rsidR="00AF2921">
        <w:rPr>
          <w:rFonts w:eastAsia="Calibri"/>
          <w:szCs w:val="24"/>
          <w:lang w:eastAsia="en-US"/>
        </w:rPr>
        <w:t xml:space="preserve">äiteks </w:t>
      </w:r>
      <w:r w:rsidR="00062129" w:rsidRPr="00062129">
        <w:rPr>
          <w:rFonts w:eastAsia="Calibri"/>
          <w:szCs w:val="24"/>
          <w:lang w:eastAsia="en-US"/>
        </w:rPr>
        <w:t>renditöötaja poolt nõude esitamine nii tööandja kui kasutajaettevõtja vastu, nõude esitamine kontserniettevõtjate vastu, kui töötaja osalt teeb tööd ühele ja osalt teisele kontserniettevõtjale</w:t>
      </w:r>
      <w:r w:rsidR="00AF2921">
        <w:rPr>
          <w:rFonts w:eastAsia="Calibri"/>
          <w:szCs w:val="24"/>
          <w:lang w:eastAsia="en-US"/>
        </w:rPr>
        <w:t xml:space="preserve"> või </w:t>
      </w:r>
      <w:r w:rsidR="00062129" w:rsidRPr="00062129">
        <w:rPr>
          <w:rFonts w:eastAsia="Calibri"/>
          <w:szCs w:val="24"/>
          <w:lang w:eastAsia="en-US"/>
        </w:rPr>
        <w:t xml:space="preserve">ettevõtte ülemineku korral, mil ettevõtte </w:t>
      </w:r>
      <w:proofErr w:type="spellStart"/>
      <w:r w:rsidR="00660141" w:rsidRPr="00062129">
        <w:rPr>
          <w:rFonts w:eastAsia="Calibri"/>
          <w:szCs w:val="24"/>
          <w:lang w:eastAsia="en-US"/>
        </w:rPr>
        <w:t>üleandja</w:t>
      </w:r>
      <w:proofErr w:type="spellEnd"/>
      <w:r w:rsidR="00062129" w:rsidRPr="00062129">
        <w:rPr>
          <w:rFonts w:eastAsia="Calibri"/>
          <w:szCs w:val="24"/>
          <w:lang w:eastAsia="en-US"/>
        </w:rPr>
        <w:t xml:space="preserve"> ja omandaja vastutavad VÕS § 183 lg 1 alusel töötaja ees</w:t>
      </w:r>
      <w:r w:rsidR="00062129" w:rsidRPr="00062129">
        <w:rPr>
          <w:rFonts w:eastAsia="Calibri"/>
          <w:szCs w:val="24"/>
          <w:lang w:eastAsia="en-US"/>
        </w:rPr>
        <w:t xml:space="preserve"> solidaarselt.</w:t>
      </w:r>
    </w:p>
    <w:p w14:paraId="23FFDA6E" w14:textId="77777777" w:rsidR="001C38C1" w:rsidRPr="00062129" w:rsidRDefault="001C38C1" w:rsidP="00062129">
      <w:pPr>
        <w:jc w:val="both"/>
        <w:rPr>
          <w:color w:val="auto"/>
          <w:szCs w:val="24"/>
        </w:rPr>
      </w:pPr>
    </w:p>
    <w:p w14:paraId="37548789" w14:textId="42ACFCC4" w:rsidR="00062129" w:rsidRPr="00062129" w:rsidRDefault="00062129" w:rsidP="00062129">
      <w:pPr>
        <w:widowControl/>
        <w:suppressAutoHyphens w:val="0"/>
        <w:autoSpaceDE w:val="0"/>
        <w:adjustRightInd w:val="0"/>
        <w:jc w:val="both"/>
        <w:textAlignment w:val="auto"/>
        <w:rPr>
          <w:rFonts w:eastAsia="Calibri"/>
          <w:szCs w:val="24"/>
          <w:lang w:eastAsia="en-US"/>
        </w:rPr>
      </w:pPr>
      <w:r w:rsidRPr="00062129">
        <w:rPr>
          <w:rFonts w:eastAsia="Calibri"/>
          <w:szCs w:val="24"/>
          <w:lang w:eastAsia="en-US"/>
        </w:rPr>
        <w:t xml:space="preserve">2. </w:t>
      </w:r>
      <w:r w:rsidRPr="00062129">
        <w:rPr>
          <w:rFonts w:eastAsia="Calibri"/>
          <w:szCs w:val="24"/>
          <w:lang w:eastAsia="en-US"/>
        </w:rPr>
        <w:t xml:space="preserve">Eelnõu punktiga 14 plaanitakse muuta </w:t>
      </w:r>
      <w:proofErr w:type="spellStart"/>
      <w:r w:rsidR="00420E24">
        <w:rPr>
          <w:rFonts w:eastAsia="Calibri"/>
          <w:szCs w:val="24"/>
          <w:lang w:eastAsia="en-US"/>
        </w:rPr>
        <w:t>TvLS</w:t>
      </w:r>
      <w:proofErr w:type="spellEnd"/>
      <w:r w:rsidRPr="00062129">
        <w:rPr>
          <w:rFonts w:eastAsia="Calibri"/>
          <w:szCs w:val="24"/>
          <w:lang w:eastAsia="en-US"/>
        </w:rPr>
        <w:t xml:space="preserve"> § 59 lg-t 1 seoses alustega, mil töövaidluskomisjoni otsus jõustub. </w:t>
      </w:r>
      <w:r w:rsidR="0065131D">
        <w:rPr>
          <w:rFonts w:eastAsia="Calibri"/>
          <w:szCs w:val="24"/>
          <w:lang w:eastAsia="en-US"/>
        </w:rPr>
        <w:t>Juhime</w:t>
      </w:r>
      <w:r w:rsidRPr="00062129">
        <w:rPr>
          <w:rFonts w:eastAsia="Calibri"/>
          <w:szCs w:val="24"/>
          <w:lang w:eastAsia="en-US"/>
        </w:rPr>
        <w:t xml:space="preserve"> tähelepanu järgmistele kitsaskohtadele, mis vajavad lahendamist enne uue regulatsiooni vastuvõtmist: </w:t>
      </w:r>
    </w:p>
    <w:p w14:paraId="40E0536F" w14:textId="77777777" w:rsidR="00062129" w:rsidRPr="00062129" w:rsidRDefault="00062129" w:rsidP="00062129">
      <w:pPr>
        <w:widowControl/>
        <w:suppressAutoHyphens w:val="0"/>
        <w:autoSpaceDE w:val="0"/>
        <w:adjustRightInd w:val="0"/>
        <w:jc w:val="both"/>
        <w:textAlignment w:val="auto"/>
        <w:rPr>
          <w:rFonts w:eastAsia="Calibri"/>
          <w:szCs w:val="24"/>
          <w:lang w:eastAsia="en-US"/>
        </w:rPr>
      </w:pPr>
    </w:p>
    <w:p w14:paraId="78ED99CB" w14:textId="71D5C81C" w:rsidR="00062129" w:rsidRPr="00062129" w:rsidRDefault="00062129" w:rsidP="00062129">
      <w:pPr>
        <w:pStyle w:val="ListParagraph"/>
        <w:widowControl/>
        <w:numPr>
          <w:ilvl w:val="0"/>
          <w:numId w:val="22"/>
        </w:numPr>
        <w:suppressAutoHyphens w:val="0"/>
        <w:autoSpaceDE w:val="0"/>
        <w:adjustRightInd w:val="0"/>
        <w:jc w:val="both"/>
        <w:textAlignment w:val="auto"/>
        <w:rPr>
          <w:rFonts w:eastAsia="Calibri"/>
          <w:szCs w:val="24"/>
          <w:lang w:eastAsia="en-US"/>
        </w:rPr>
      </w:pPr>
      <w:r w:rsidRPr="00062129">
        <w:rPr>
          <w:rFonts w:eastAsia="Calibri"/>
          <w:szCs w:val="24"/>
          <w:lang w:eastAsia="en-US"/>
        </w:rPr>
        <w:t xml:space="preserve">Kavandatava </w:t>
      </w:r>
      <w:proofErr w:type="spellStart"/>
      <w:r w:rsidR="00370BC5">
        <w:rPr>
          <w:rFonts w:eastAsia="Calibri"/>
          <w:szCs w:val="24"/>
          <w:lang w:eastAsia="en-US"/>
        </w:rPr>
        <w:t>TvLS</w:t>
      </w:r>
      <w:proofErr w:type="spellEnd"/>
      <w:r w:rsidRPr="00062129">
        <w:rPr>
          <w:rFonts w:eastAsia="Calibri"/>
          <w:szCs w:val="24"/>
          <w:lang w:eastAsia="en-US"/>
        </w:rPr>
        <w:t xml:space="preserve"> § 59 lg 1 p 3 kohaselt jõustub töövaidluskomisjoni otsus hagi läbi vaatamata jätmisel ainult juhul, kui hagi jäetakse läbi vaatamata </w:t>
      </w:r>
      <w:proofErr w:type="spellStart"/>
      <w:r w:rsidRPr="00062129">
        <w:rPr>
          <w:rFonts w:eastAsia="Calibri"/>
          <w:szCs w:val="24"/>
          <w:lang w:eastAsia="en-US"/>
        </w:rPr>
        <w:t>TsMS</w:t>
      </w:r>
      <w:proofErr w:type="spellEnd"/>
      <w:r w:rsidRPr="00062129">
        <w:rPr>
          <w:rFonts w:eastAsia="Calibri"/>
          <w:szCs w:val="24"/>
          <w:lang w:eastAsia="en-US"/>
        </w:rPr>
        <w:t xml:space="preserve"> § 423 lg 1 p 9 alusel (esindusõiguse tõendamatus). </w:t>
      </w:r>
    </w:p>
    <w:p w14:paraId="1F1078B6" w14:textId="77777777" w:rsidR="00062129" w:rsidRDefault="00062129" w:rsidP="00062129">
      <w:pPr>
        <w:widowControl/>
        <w:suppressAutoHyphens w:val="0"/>
        <w:autoSpaceDE w:val="0"/>
        <w:adjustRightInd w:val="0"/>
        <w:jc w:val="both"/>
        <w:textAlignment w:val="auto"/>
        <w:rPr>
          <w:rFonts w:eastAsia="Calibri"/>
          <w:szCs w:val="24"/>
          <w:lang w:eastAsia="en-US"/>
        </w:rPr>
      </w:pPr>
    </w:p>
    <w:p w14:paraId="4E320418" w14:textId="793AC142" w:rsidR="00062129" w:rsidRPr="00062129" w:rsidRDefault="00062129" w:rsidP="00062129">
      <w:pPr>
        <w:widowControl/>
        <w:suppressAutoHyphens w:val="0"/>
        <w:autoSpaceDE w:val="0"/>
        <w:adjustRightInd w:val="0"/>
        <w:jc w:val="both"/>
        <w:textAlignment w:val="auto"/>
        <w:rPr>
          <w:rFonts w:eastAsia="Calibri"/>
          <w:szCs w:val="24"/>
          <w:lang w:eastAsia="en-US"/>
        </w:rPr>
      </w:pPr>
      <w:r w:rsidRPr="00062129">
        <w:rPr>
          <w:rFonts w:eastAsia="Calibri"/>
          <w:szCs w:val="24"/>
          <w:lang w:eastAsia="en-US"/>
        </w:rPr>
        <w:t xml:space="preserve">Kavandatav regulatsioon jätab lahtiseks, mis saab töövaidlusest ja töövaidluskomisjoni otsusest juhtudel, kui hagi jäetakse läbi vaatamata muudel alustel, sh nt </w:t>
      </w:r>
      <w:proofErr w:type="spellStart"/>
      <w:r w:rsidRPr="00062129">
        <w:rPr>
          <w:rFonts w:eastAsia="Calibri"/>
          <w:szCs w:val="24"/>
          <w:lang w:eastAsia="en-US"/>
        </w:rPr>
        <w:t>TsMS</w:t>
      </w:r>
      <w:proofErr w:type="spellEnd"/>
      <w:r w:rsidRPr="00062129">
        <w:rPr>
          <w:rFonts w:eastAsia="Calibri"/>
          <w:szCs w:val="24"/>
          <w:lang w:eastAsia="en-US"/>
        </w:rPr>
        <w:t xml:space="preserve"> § 423 lg 1 p 10 (tõlgi või </w:t>
      </w:r>
      <w:r w:rsidRPr="00062129">
        <w:rPr>
          <w:rFonts w:eastAsia="Calibri"/>
          <w:szCs w:val="24"/>
          <w:lang w:eastAsia="en-US"/>
        </w:rPr>
        <w:lastRenderedPageBreak/>
        <w:t xml:space="preserve">eesti keelt oskava esindaja puudumine hagejal), </w:t>
      </w:r>
      <w:r w:rsidR="005F70D5">
        <w:rPr>
          <w:rFonts w:eastAsia="Calibri"/>
          <w:szCs w:val="24"/>
          <w:lang w:eastAsia="en-US"/>
        </w:rPr>
        <w:t xml:space="preserve">p </w:t>
      </w:r>
      <w:r w:rsidRPr="00062129">
        <w:rPr>
          <w:rFonts w:eastAsia="Calibri"/>
          <w:szCs w:val="24"/>
          <w:lang w:eastAsia="en-US"/>
        </w:rPr>
        <w:t xml:space="preserve">11 (riigilõivu tasumata jätmine), </w:t>
      </w:r>
      <w:r w:rsidR="005F70D5">
        <w:rPr>
          <w:rFonts w:eastAsia="Calibri"/>
          <w:szCs w:val="24"/>
          <w:lang w:eastAsia="en-US"/>
        </w:rPr>
        <w:t xml:space="preserve">p </w:t>
      </w:r>
      <w:r w:rsidRPr="00062129">
        <w:rPr>
          <w:rFonts w:eastAsia="Calibri"/>
          <w:szCs w:val="24"/>
          <w:lang w:eastAsia="en-US"/>
        </w:rPr>
        <w:t>12 (kohtu määratud menetluskulude tagatis</w:t>
      </w:r>
      <w:r w:rsidR="002321C4">
        <w:rPr>
          <w:rFonts w:eastAsia="Calibri"/>
          <w:szCs w:val="24"/>
          <w:lang w:eastAsia="en-US"/>
        </w:rPr>
        <w:t>e</w:t>
      </w:r>
      <w:r w:rsidRPr="00062129">
        <w:rPr>
          <w:rFonts w:eastAsia="Calibri"/>
          <w:szCs w:val="24"/>
          <w:lang w:eastAsia="en-US"/>
        </w:rPr>
        <w:t xml:space="preserve"> andmata jätmine)</w:t>
      </w:r>
      <w:r w:rsidR="000C7F99">
        <w:rPr>
          <w:rFonts w:eastAsia="Calibri"/>
          <w:szCs w:val="24"/>
          <w:lang w:eastAsia="en-US"/>
        </w:rPr>
        <w:t>.</w:t>
      </w:r>
      <w:bookmarkStart w:id="0" w:name="_GoBack"/>
      <w:bookmarkEnd w:id="0"/>
    </w:p>
    <w:p w14:paraId="3325EFA5" w14:textId="77777777" w:rsidR="00205753" w:rsidRDefault="00205753" w:rsidP="00062129">
      <w:pPr>
        <w:widowControl/>
        <w:suppressAutoHyphens w:val="0"/>
        <w:autoSpaceDE w:val="0"/>
        <w:adjustRightInd w:val="0"/>
        <w:jc w:val="both"/>
        <w:textAlignment w:val="auto"/>
        <w:rPr>
          <w:rFonts w:eastAsia="Calibri"/>
          <w:szCs w:val="24"/>
          <w:lang w:eastAsia="en-US"/>
        </w:rPr>
      </w:pPr>
    </w:p>
    <w:p w14:paraId="6FD3F697" w14:textId="4F52B63C" w:rsidR="00062129" w:rsidRPr="00062129" w:rsidRDefault="00062129" w:rsidP="00062129">
      <w:pPr>
        <w:widowControl/>
        <w:suppressAutoHyphens w:val="0"/>
        <w:autoSpaceDE w:val="0"/>
        <w:adjustRightInd w:val="0"/>
        <w:jc w:val="both"/>
        <w:textAlignment w:val="auto"/>
        <w:rPr>
          <w:rFonts w:eastAsia="Calibri"/>
          <w:szCs w:val="24"/>
          <w:lang w:eastAsia="en-US"/>
        </w:rPr>
      </w:pPr>
      <w:r w:rsidRPr="00062129">
        <w:rPr>
          <w:rFonts w:eastAsia="Calibri"/>
          <w:szCs w:val="24"/>
          <w:lang w:eastAsia="en-US"/>
        </w:rPr>
        <w:t xml:space="preserve">Eelnõu seletuskirjas toodud põhjendustega sellest, et tuleb vältida vaidlusest pahatahtlikku loobumist eesmärgiga jõustada töövaidluskomisjoni otsus, saab nõustuda, kuid ainult juhtumil, kui kohtusse pöördub vastaspool, mitte avaldaja. Kui kohtusse pöördub avaldaja ise, oleks kõigil hagi läbi vaatamata jätmise alustel põhjendatud töövaidluskomisjoni otsuse jõustumine. Näiteks töötaja pöördub töövaidluskomisjoni nõudega tuvastada töölepingu ülesütlemise tühisus, töövaidluskomisjon jätab otsusega tema nõude rahuldamata ja töötaja pöördub kohtusse. Kui töötaja jätab kohtumenetluses teatud sammud tegemata ja tema hagi jäetakse läbi vaatamata, jääb siiski jõustumata ka nõuet rahuldamata jätnud töövaidluskomisjoni otsus. </w:t>
      </w:r>
    </w:p>
    <w:p w14:paraId="0297A99B" w14:textId="77777777" w:rsidR="00205753" w:rsidRDefault="00205753" w:rsidP="00062129">
      <w:pPr>
        <w:widowControl/>
        <w:suppressAutoHyphens w:val="0"/>
        <w:autoSpaceDE w:val="0"/>
        <w:adjustRightInd w:val="0"/>
        <w:jc w:val="both"/>
        <w:textAlignment w:val="auto"/>
        <w:rPr>
          <w:rFonts w:eastAsia="Calibri"/>
          <w:szCs w:val="24"/>
          <w:lang w:eastAsia="en-US"/>
        </w:rPr>
      </w:pPr>
    </w:p>
    <w:p w14:paraId="31A7F1F2" w14:textId="74662EB7" w:rsidR="00062129" w:rsidRPr="00062129" w:rsidRDefault="00062129" w:rsidP="00062129">
      <w:pPr>
        <w:widowControl/>
        <w:suppressAutoHyphens w:val="0"/>
        <w:autoSpaceDE w:val="0"/>
        <w:adjustRightInd w:val="0"/>
        <w:jc w:val="both"/>
        <w:textAlignment w:val="auto"/>
        <w:rPr>
          <w:rFonts w:eastAsia="Calibri"/>
          <w:szCs w:val="24"/>
          <w:lang w:eastAsia="en-US"/>
        </w:rPr>
      </w:pPr>
      <w:r w:rsidRPr="00062129">
        <w:rPr>
          <w:rFonts w:eastAsia="Calibri"/>
          <w:szCs w:val="24"/>
          <w:lang w:eastAsia="en-US"/>
        </w:rPr>
        <w:t>On ebaselge, mis saab sel juhul töövaidlusest, kui töövaidluskomisjoni otsus ei jõustu ja samas ei toimu ka nõude lahendamist kohtus. Kas töövaidlus on siis lõppemata? Kui see on lõppenud, siis millisel alusel? Kas loetakse, et avaldus ei ole menetluses olnud? Arvestades, et töövaidluskomisjoni ja kohtusse pöördumine peatavad aegumise, on ilmselt nõue ka aegumata. Seega võib tekkida olukord, et iga</w:t>
      </w:r>
      <w:r w:rsidR="003F2C58">
        <w:rPr>
          <w:rFonts w:eastAsia="Calibri"/>
          <w:szCs w:val="24"/>
          <w:lang w:eastAsia="en-US"/>
        </w:rPr>
        <w:t xml:space="preserve"> </w:t>
      </w:r>
      <w:r w:rsidRPr="00062129">
        <w:rPr>
          <w:rFonts w:eastAsia="Calibri"/>
          <w:szCs w:val="24"/>
          <w:lang w:eastAsia="en-US"/>
        </w:rPr>
        <w:t xml:space="preserve">kord, kui kohus jätab avaldaja hagi läbi vaatamata, saab avaldaja sama nõudega uuesti töövaidluskomisjoni pöörduda, sest jõustunud otsust tema nõude rahuldamata jätmise kohta ei eksisteeri. </w:t>
      </w:r>
    </w:p>
    <w:p w14:paraId="63C32041" w14:textId="77777777" w:rsidR="00205753" w:rsidRDefault="00205753" w:rsidP="00062129">
      <w:pPr>
        <w:widowControl/>
        <w:suppressAutoHyphens w:val="0"/>
        <w:autoSpaceDE w:val="0"/>
        <w:adjustRightInd w:val="0"/>
        <w:jc w:val="both"/>
        <w:textAlignment w:val="auto"/>
        <w:rPr>
          <w:rFonts w:eastAsia="Calibri"/>
          <w:szCs w:val="24"/>
          <w:lang w:eastAsia="en-US"/>
        </w:rPr>
      </w:pPr>
    </w:p>
    <w:p w14:paraId="12F9AAC2" w14:textId="4FB93F65" w:rsidR="00062129" w:rsidRDefault="00062129" w:rsidP="00062129">
      <w:pPr>
        <w:widowControl/>
        <w:suppressAutoHyphens w:val="0"/>
        <w:autoSpaceDE w:val="0"/>
        <w:adjustRightInd w:val="0"/>
        <w:jc w:val="both"/>
        <w:textAlignment w:val="auto"/>
        <w:rPr>
          <w:rFonts w:eastAsia="Calibri"/>
          <w:szCs w:val="24"/>
          <w:lang w:eastAsia="en-US"/>
        </w:rPr>
      </w:pPr>
      <w:r w:rsidRPr="00062129">
        <w:rPr>
          <w:rFonts w:eastAsia="Calibri"/>
          <w:szCs w:val="24"/>
          <w:lang w:eastAsia="en-US"/>
        </w:rPr>
        <w:t xml:space="preserve">Seega vajab reguleerimist ka see, mis saab töövaidlusest ja töövaidluskomisjoni otsusest juhul, kui hagi jäetakse läbi vaatamata muul alusel kui </w:t>
      </w:r>
      <w:proofErr w:type="spellStart"/>
      <w:r w:rsidRPr="00062129">
        <w:rPr>
          <w:rFonts w:eastAsia="Calibri"/>
          <w:szCs w:val="24"/>
          <w:lang w:eastAsia="en-US"/>
        </w:rPr>
        <w:t>TsMS</w:t>
      </w:r>
      <w:proofErr w:type="spellEnd"/>
      <w:r w:rsidRPr="00062129">
        <w:rPr>
          <w:rFonts w:eastAsia="Calibri"/>
          <w:szCs w:val="24"/>
          <w:lang w:eastAsia="en-US"/>
        </w:rPr>
        <w:t xml:space="preserve"> § 423 lg 1 p 9. </w:t>
      </w:r>
    </w:p>
    <w:p w14:paraId="10C1E11B" w14:textId="77777777" w:rsidR="00205753" w:rsidRPr="00062129" w:rsidRDefault="00205753" w:rsidP="00062129">
      <w:pPr>
        <w:widowControl/>
        <w:suppressAutoHyphens w:val="0"/>
        <w:autoSpaceDE w:val="0"/>
        <w:adjustRightInd w:val="0"/>
        <w:jc w:val="both"/>
        <w:textAlignment w:val="auto"/>
        <w:rPr>
          <w:rFonts w:eastAsia="Calibri"/>
          <w:szCs w:val="24"/>
          <w:lang w:eastAsia="en-US"/>
        </w:rPr>
      </w:pPr>
    </w:p>
    <w:p w14:paraId="12C9ADB8" w14:textId="16E90A63" w:rsidR="0065131D" w:rsidRDefault="00062129" w:rsidP="00205753">
      <w:pPr>
        <w:pStyle w:val="ListParagraph"/>
        <w:widowControl/>
        <w:numPr>
          <w:ilvl w:val="0"/>
          <w:numId w:val="22"/>
        </w:numPr>
        <w:suppressAutoHyphens w:val="0"/>
        <w:autoSpaceDE w:val="0"/>
        <w:adjustRightInd w:val="0"/>
        <w:jc w:val="both"/>
        <w:textAlignment w:val="auto"/>
        <w:rPr>
          <w:rFonts w:eastAsia="Calibri"/>
          <w:szCs w:val="24"/>
          <w:lang w:eastAsia="en-US"/>
        </w:rPr>
      </w:pPr>
      <w:r w:rsidRPr="00205753">
        <w:rPr>
          <w:rFonts w:eastAsia="Calibri"/>
          <w:szCs w:val="24"/>
          <w:lang w:eastAsia="en-US"/>
        </w:rPr>
        <w:t xml:space="preserve">Kavandatava </w:t>
      </w:r>
      <w:proofErr w:type="spellStart"/>
      <w:r w:rsidR="003F2C58">
        <w:rPr>
          <w:rFonts w:eastAsia="Calibri"/>
          <w:szCs w:val="24"/>
          <w:lang w:eastAsia="en-US"/>
        </w:rPr>
        <w:t>TvLS</w:t>
      </w:r>
      <w:proofErr w:type="spellEnd"/>
      <w:r w:rsidRPr="00205753">
        <w:rPr>
          <w:rFonts w:eastAsia="Calibri"/>
          <w:szCs w:val="24"/>
          <w:lang w:eastAsia="en-US"/>
        </w:rPr>
        <w:t xml:space="preserve"> § 59 lg 1 p 4 kohaselt jõustub töövaidluskomisjoni otsus, kui kohus lõpetab menetluse </w:t>
      </w:r>
      <w:proofErr w:type="spellStart"/>
      <w:r w:rsidRPr="00205753">
        <w:rPr>
          <w:rFonts w:eastAsia="Calibri"/>
          <w:szCs w:val="24"/>
          <w:lang w:eastAsia="en-US"/>
        </w:rPr>
        <w:t>TsMS</w:t>
      </w:r>
      <w:proofErr w:type="spellEnd"/>
      <w:r w:rsidRPr="00205753">
        <w:rPr>
          <w:rFonts w:eastAsia="Calibri"/>
          <w:szCs w:val="24"/>
          <w:lang w:eastAsia="en-US"/>
        </w:rPr>
        <w:t xml:space="preserve"> § 428 lg 1 p 2 alusel. </w:t>
      </w:r>
    </w:p>
    <w:p w14:paraId="6FF4ED9F" w14:textId="77777777" w:rsidR="0065131D" w:rsidRDefault="0065131D" w:rsidP="0065131D">
      <w:pPr>
        <w:widowControl/>
        <w:suppressAutoHyphens w:val="0"/>
        <w:autoSpaceDE w:val="0"/>
        <w:adjustRightInd w:val="0"/>
        <w:jc w:val="both"/>
        <w:textAlignment w:val="auto"/>
        <w:rPr>
          <w:rFonts w:eastAsia="Calibri"/>
          <w:szCs w:val="24"/>
          <w:lang w:eastAsia="en-US"/>
        </w:rPr>
      </w:pPr>
    </w:p>
    <w:p w14:paraId="0F187FCA" w14:textId="52E32AFC" w:rsidR="00062129" w:rsidRPr="0065131D" w:rsidRDefault="00062129" w:rsidP="0065131D">
      <w:pPr>
        <w:widowControl/>
        <w:suppressAutoHyphens w:val="0"/>
        <w:autoSpaceDE w:val="0"/>
        <w:adjustRightInd w:val="0"/>
        <w:jc w:val="both"/>
        <w:textAlignment w:val="auto"/>
        <w:rPr>
          <w:rFonts w:eastAsia="Calibri"/>
          <w:szCs w:val="24"/>
          <w:lang w:eastAsia="en-US"/>
        </w:rPr>
      </w:pPr>
      <w:r w:rsidRPr="0065131D">
        <w:rPr>
          <w:rFonts w:eastAsia="Calibri"/>
          <w:szCs w:val="24"/>
          <w:lang w:eastAsia="en-US"/>
        </w:rPr>
        <w:t xml:space="preserve">Selline viide on ebaõige. Erinevalt eelnõu seletuskirjas märgitust reguleerib </w:t>
      </w:r>
      <w:proofErr w:type="spellStart"/>
      <w:r w:rsidRPr="0065131D">
        <w:rPr>
          <w:rFonts w:eastAsia="Calibri"/>
          <w:szCs w:val="24"/>
          <w:lang w:eastAsia="en-US"/>
        </w:rPr>
        <w:t>TsMS</w:t>
      </w:r>
      <w:proofErr w:type="spellEnd"/>
      <w:r w:rsidRPr="0065131D">
        <w:rPr>
          <w:rFonts w:eastAsia="Calibri"/>
          <w:szCs w:val="24"/>
          <w:lang w:eastAsia="en-US"/>
        </w:rPr>
        <w:t xml:space="preserve"> § 428 lg 1 p 2 olukorda, kui samade poolte vahel on sama aluse ja esemega vaidluses jõustunud muu lahend, mitte sama lahend, mida kohtus vaidlustatakse. Kui sama vaidlus on muu lahendiga juba lahendatud, ei saa jõustuda ka töövaidluskomisjoni otsus. </w:t>
      </w:r>
    </w:p>
    <w:p w14:paraId="39EB1B69" w14:textId="77777777" w:rsidR="00062129" w:rsidRPr="00062129" w:rsidRDefault="00062129" w:rsidP="00062129">
      <w:pPr>
        <w:widowControl/>
        <w:suppressAutoHyphens w:val="0"/>
        <w:autoSpaceDE w:val="0"/>
        <w:adjustRightInd w:val="0"/>
        <w:jc w:val="both"/>
        <w:textAlignment w:val="auto"/>
        <w:rPr>
          <w:rFonts w:eastAsia="Calibri"/>
          <w:szCs w:val="24"/>
          <w:lang w:eastAsia="en-US"/>
        </w:rPr>
      </w:pPr>
    </w:p>
    <w:p w14:paraId="0B875960" w14:textId="083AC5BF" w:rsidR="00062129" w:rsidRPr="00205753" w:rsidRDefault="00062129" w:rsidP="00205753">
      <w:pPr>
        <w:pStyle w:val="ListParagraph"/>
        <w:widowControl/>
        <w:numPr>
          <w:ilvl w:val="0"/>
          <w:numId w:val="22"/>
        </w:numPr>
        <w:suppressAutoHyphens w:val="0"/>
        <w:autoSpaceDE w:val="0"/>
        <w:adjustRightInd w:val="0"/>
        <w:jc w:val="both"/>
        <w:textAlignment w:val="auto"/>
        <w:rPr>
          <w:rFonts w:eastAsia="Calibri"/>
          <w:szCs w:val="24"/>
          <w:lang w:eastAsia="en-US"/>
        </w:rPr>
      </w:pPr>
      <w:r w:rsidRPr="00205753">
        <w:rPr>
          <w:rFonts w:eastAsia="Calibri"/>
          <w:szCs w:val="24"/>
          <w:lang w:eastAsia="en-US"/>
        </w:rPr>
        <w:t xml:space="preserve">Kavandatava </w:t>
      </w:r>
      <w:proofErr w:type="spellStart"/>
      <w:r w:rsidR="002A5374">
        <w:rPr>
          <w:rFonts w:eastAsia="Calibri"/>
          <w:szCs w:val="24"/>
          <w:lang w:eastAsia="en-US"/>
        </w:rPr>
        <w:t>TvLS</w:t>
      </w:r>
      <w:proofErr w:type="spellEnd"/>
      <w:r w:rsidR="002A5374">
        <w:rPr>
          <w:rFonts w:eastAsia="Calibri"/>
          <w:szCs w:val="24"/>
          <w:lang w:eastAsia="en-US"/>
        </w:rPr>
        <w:t xml:space="preserve"> </w:t>
      </w:r>
      <w:r w:rsidRPr="00205753">
        <w:rPr>
          <w:rFonts w:eastAsia="Calibri"/>
          <w:szCs w:val="24"/>
          <w:lang w:eastAsia="en-US"/>
        </w:rPr>
        <w:t xml:space="preserve">§ 59 lg 1 p 4 kohaselt jõustub töövaidluskomisjoni otsus, kui kohus lõpetab menetluse </w:t>
      </w:r>
      <w:proofErr w:type="spellStart"/>
      <w:r w:rsidRPr="00205753">
        <w:rPr>
          <w:rFonts w:eastAsia="Calibri"/>
          <w:szCs w:val="24"/>
          <w:lang w:eastAsia="en-US"/>
        </w:rPr>
        <w:t>TsMS</w:t>
      </w:r>
      <w:proofErr w:type="spellEnd"/>
      <w:r w:rsidRPr="00205753">
        <w:rPr>
          <w:rFonts w:eastAsia="Calibri"/>
          <w:szCs w:val="24"/>
          <w:lang w:eastAsia="en-US"/>
        </w:rPr>
        <w:t xml:space="preserve"> § 428 lg 2 alusel ehk muul seaduses sätestatud alusel</w:t>
      </w:r>
      <w:r w:rsidRPr="00205753">
        <w:rPr>
          <w:rFonts w:eastAsia="Calibri"/>
          <w:szCs w:val="24"/>
          <w:lang w:eastAsia="en-US"/>
        </w:rPr>
        <w:t>.</w:t>
      </w:r>
    </w:p>
    <w:p w14:paraId="19070608" w14:textId="77777777" w:rsidR="001C38C1" w:rsidRPr="00062129" w:rsidRDefault="001C38C1" w:rsidP="00062129">
      <w:pPr>
        <w:jc w:val="both"/>
        <w:rPr>
          <w:color w:val="auto"/>
          <w:szCs w:val="24"/>
        </w:rPr>
      </w:pPr>
    </w:p>
    <w:p w14:paraId="0373FF20" w14:textId="6A16558F" w:rsidR="00062129" w:rsidRPr="00062129" w:rsidRDefault="0065131D" w:rsidP="00205753">
      <w:pPr>
        <w:widowControl/>
        <w:suppressAutoHyphens w:val="0"/>
        <w:autoSpaceDE w:val="0"/>
        <w:adjustRightInd w:val="0"/>
        <w:jc w:val="both"/>
        <w:textAlignment w:val="auto"/>
        <w:rPr>
          <w:rFonts w:eastAsia="Calibri"/>
          <w:szCs w:val="24"/>
          <w:lang w:eastAsia="en-US"/>
        </w:rPr>
      </w:pPr>
      <w:r>
        <w:rPr>
          <w:rFonts w:eastAsia="Calibri"/>
          <w:szCs w:val="24"/>
          <w:lang w:eastAsia="en-US"/>
        </w:rPr>
        <w:t>Antud juhul</w:t>
      </w:r>
      <w:r w:rsidR="00062129" w:rsidRPr="00062129">
        <w:rPr>
          <w:rFonts w:eastAsia="Calibri"/>
          <w:szCs w:val="24"/>
          <w:lang w:eastAsia="en-US"/>
        </w:rPr>
        <w:t xml:space="preserve"> jääb arusaamatuks selle aluse kohaldamine. Eelnõu seletuskirjas sisalduv selgitus, et </w:t>
      </w:r>
      <w:proofErr w:type="spellStart"/>
      <w:r w:rsidR="00062129" w:rsidRPr="00062129">
        <w:rPr>
          <w:rFonts w:eastAsia="Calibri"/>
          <w:szCs w:val="24"/>
          <w:lang w:eastAsia="en-US"/>
        </w:rPr>
        <w:t>TsMS</w:t>
      </w:r>
      <w:proofErr w:type="spellEnd"/>
      <w:r w:rsidR="00062129" w:rsidRPr="00062129">
        <w:rPr>
          <w:rFonts w:eastAsia="Calibri"/>
          <w:szCs w:val="24"/>
          <w:lang w:eastAsia="en-US"/>
        </w:rPr>
        <w:t xml:space="preserve"> § 428 lg 2 alusel lõpetatakse hagimenetlus üldjuhul pankrotiseaduse alusel, on komisjoni hinnangul ebaõige. Pankrotiseaduse alusel võidakse hagimenetluses jätta hagi läbi vaatamata, kuid ei toimu hagimenetluse lõpetamist. Seega on läbi mõtlemata, millistel juhtudel kohalduks </w:t>
      </w:r>
      <w:proofErr w:type="spellStart"/>
      <w:r w:rsidR="002A5374">
        <w:rPr>
          <w:rFonts w:eastAsia="Calibri"/>
          <w:szCs w:val="24"/>
          <w:lang w:eastAsia="en-US"/>
        </w:rPr>
        <w:t>TvLS</w:t>
      </w:r>
      <w:proofErr w:type="spellEnd"/>
      <w:r w:rsidR="00062129" w:rsidRPr="00062129">
        <w:rPr>
          <w:rFonts w:eastAsia="Calibri"/>
          <w:szCs w:val="24"/>
          <w:lang w:eastAsia="en-US"/>
        </w:rPr>
        <w:t xml:space="preserve"> § 59 lg 1 p 4 viimane osa. </w:t>
      </w:r>
    </w:p>
    <w:p w14:paraId="140F278A" w14:textId="77777777" w:rsidR="00062129" w:rsidRPr="00062129" w:rsidRDefault="00062129" w:rsidP="00205753">
      <w:pPr>
        <w:widowControl/>
        <w:suppressAutoHyphens w:val="0"/>
        <w:autoSpaceDE w:val="0"/>
        <w:adjustRightInd w:val="0"/>
        <w:jc w:val="both"/>
        <w:textAlignment w:val="auto"/>
        <w:rPr>
          <w:rFonts w:eastAsia="Calibri"/>
          <w:szCs w:val="24"/>
          <w:lang w:eastAsia="en-US"/>
        </w:rPr>
      </w:pPr>
    </w:p>
    <w:p w14:paraId="246C833D" w14:textId="02810E6B" w:rsidR="00062129" w:rsidRPr="00062129" w:rsidRDefault="00062129" w:rsidP="00205753">
      <w:pPr>
        <w:widowControl/>
        <w:suppressAutoHyphens w:val="0"/>
        <w:autoSpaceDE w:val="0"/>
        <w:adjustRightInd w:val="0"/>
        <w:jc w:val="both"/>
        <w:textAlignment w:val="auto"/>
        <w:rPr>
          <w:rFonts w:eastAsia="Calibri"/>
          <w:szCs w:val="24"/>
          <w:lang w:eastAsia="en-US"/>
        </w:rPr>
      </w:pPr>
      <w:r w:rsidRPr="00062129">
        <w:rPr>
          <w:rFonts w:eastAsia="Calibri"/>
          <w:szCs w:val="24"/>
          <w:lang w:eastAsia="en-US"/>
        </w:rPr>
        <w:t xml:space="preserve">Komisjon teeb ettepaneku lisada kavandatavasse </w:t>
      </w:r>
      <w:proofErr w:type="spellStart"/>
      <w:r w:rsidR="002A5374">
        <w:rPr>
          <w:rFonts w:eastAsia="Calibri"/>
          <w:szCs w:val="24"/>
          <w:lang w:eastAsia="en-US"/>
        </w:rPr>
        <w:t>TvLS</w:t>
      </w:r>
      <w:proofErr w:type="spellEnd"/>
      <w:r w:rsidRPr="00062129">
        <w:rPr>
          <w:rFonts w:eastAsia="Calibri"/>
          <w:szCs w:val="24"/>
          <w:lang w:eastAsia="en-US"/>
        </w:rPr>
        <w:t xml:space="preserve"> § 59 lg 1 </w:t>
      </w:r>
      <w:proofErr w:type="spellStart"/>
      <w:r w:rsidRPr="00062129">
        <w:rPr>
          <w:rFonts w:eastAsia="Calibri"/>
          <w:szCs w:val="24"/>
          <w:lang w:eastAsia="en-US"/>
        </w:rPr>
        <w:t>p-i</w:t>
      </w:r>
      <w:proofErr w:type="spellEnd"/>
      <w:r w:rsidRPr="00062129">
        <w:rPr>
          <w:rFonts w:eastAsia="Calibri"/>
          <w:szCs w:val="24"/>
          <w:lang w:eastAsia="en-US"/>
        </w:rPr>
        <w:t xml:space="preserve"> 4 viide menetluse lõpetamisele </w:t>
      </w:r>
      <w:proofErr w:type="spellStart"/>
      <w:r w:rsidRPr="00062129">
        <w:rPr>
          <w:rFonts w:eastAsia="Calibri"/>
          <w:szCs w:val="24"/>
          <w:lang w:eastAsia="en-US"/>
        </w:rPr>
        <w:t>TsMS</w:t>
      </w:r>
      <w:proofErr w:type="spellEnd"/>
      <w:r w:rsidRPr="00062129">
        <w:rPr>
          <w:rFonts w:eastAsia="Calibri"/>
          <w:szCs w:val="24"/>
          <w:lang w:eastAsia="en-US"/>
        </w:rPr>
        <w:t xml:space="preserve"> 428 lg 1 p 5 alusel. </w:t>
      </w:r>
      <w:r w:rsidR="0065131D">
        <w:rPr>
          <w:rFonts w:eastAsia="Calibri"/>
          <w:szCs w:val="24"/>
          <w:lang w:eastAsia="en-US"/>
        </w:rPr>
        <w:t>Ei saa nõustuda</w:t>
      </w:r>
      <w:r w:rsidRPr="00062129">
        <w:rPr>
          <w:rFonts w:eastAsia="Calibri"/>
          <w:szCs w:val="24"/>
          <w:lang w:eastAsia="en-US"/>
        </w:rPr>
        <w:t xml:space="preserve"> eelnõu seletuskirja põhjendusega, et töövaidluskomisjoni otsus ei saa täitmise võimatuse tõttu jõustuda, kui pool lõpeb õigusjärgluseta. Esiteks sõltumata täitmise võimalikkusest või võimatusest tuleb tagada õigusselgus ehk vaidlus peab saama lõpu jõustunud lahendi näol. Teiseks ei ole välistatud, et õigusjärgluseta lõppenud juriidilisel isikul, mis on äriregistrist küll kustutatud, on vara, mistõttu tuleb läbi viia täiendav likvideerimine. Kui töövaidluskomisjoni otsus on jõustunud, on võimalik isikul täiendava likvideerimise raames saada nõue täidetud; töövaidluskomisjoni otsuse jõustumata jäämisel isik kaotab sellise võimaluse. </w:t>
      </w:r>
    </w:p>
    <w:p w14:paraId="59E0AF7C" w14:textId="77777777" w:rsidR="005E2D7A" w:rsidRDefault="005E2D7A" w:rsidP="00062129">
      <w:pPr>
        <w:jc w:val="both"/>
        <w:rPr>
          <w:color w:val="auto"/>
          <w:szCs w:val="24"/>
        </w:rPr>
      </w:pPr>
    </w:p>
    <w:p w14:paraId="1DE04A07" w14:textId="66A16D08" w:rsidR="00096EEB" w:rsidRPr="00062129" w:rsidRDefault="00096EEB" w:rsidP="00062129">
      <w:pPr>
        <w:jc w:val="both"/>
        <w:rPr>
          <w:color w:val="auto"/>
          <w:szCs w:val="24"/>
        </w:rPr>
      </w:pPr>
      <w:r w:rsidRPr="00062129">
        <w:rPr>
          <w:color w:val="auto"/>
          <w:szCs w:val="24"/>
        </w:rPr>
        <w:lastRenderedPageBreak/>
        <w:t>Lugupidamisega</w:t>
      </w:r>
    </w:p>
    <w:p w14:paraId="4084A9A9" w14:textId="77777777" w:rsidR="00096EEB" w:rsidRPr="00062129" w:rsidRDefault="00096EEB" w:rsidP="00062129">
      <w:pPr>
        <w:jc w:val="both"/>
        <w:rPr>
          <w:color w:val="auto"/>
          <w:szCs w:val="24"/>
        </w:rPr>
      </w:pPr>
    </w:p>
    <w:p w14:paraId="3C6D9E4C" w14:textId="77777777" w:rsidR="00096EEB" w:rsidRPr="00062129" w:rsidRDefault="00096EEB" w:rsidP="00062129">
      <w:pPr>
        <w:jc w:val="both"/>
        <w:rPr>
          <w:color w:val="auto"/>
          <w:szCs w:val="24"/>
        </w:rPr>
      </w:pPr>
      <w:r w:rsidRPr="00062129">
        <w:rPr>
          <w:color w:val="auto"/>
          <w:szCs w:val="24"/>
        </w:rPr>
        <w:t>(allkirjastatud digitaalselt)</w:t>
      </w:r>
    </w:p>
    <w:p w14:paraId="545EA4A5" w14:textId="77777777" w:rsidR="00096EEB" w:rsidRPr="00062129" w:rsidRDefault="00096EEB" w:rsidP="00062129">
      <w:pPr>
        <w:jc w:val="both"/>
        <w:rPr>
          <w:color w:val="auto"/>
          <w:szCs w:val="24"/>
        </w:rPr>
      </w:pPr>
    </w:p>
    <w:p w14:paraId="4DDF4261" w14:textId="77777777" w:rsidR="00096EEB" w:rsidRPr="00062129" w:rsidRDefault="00096EEB" w:rsidP="00062129">
      <w:pPr>
        <w:jc w:val="both"/>
        <w:rPr>
          <w:color w:val="auto"/>
          <w:szCs w:val="24"/>
        </w:rPr>
      </w:pPr>
      <w:r w:rsidRPr="00062129">
        <w:rPr>
          <w:color w:val="auto"/>
          <w:szCs w:val="24"/>
        </w:rPr>
        <w:t>Jaanus Tehver</w:t>
      </w:r>
    </w:p>
    <w:p w14:paraId="0902676C" w14:textId="77777777" w:rsidR="00096EEB" w:rsidRPr="00062129" w:rsidRDefault="00096EEB" w:rsidP="00062129">
      <w:pPr>
        <w:jc w:val="both"/>
        <w:rPr>
          <w:color w:val="auto"/>
          <w:szCs w:val="24"/>
        </w:rPr>
      </w:pPr>
      <w:r w:rsidRPr="00062129">
        <w:rPr>
          <w:color w:val="auto"/>
          <w:szCs w:val="24"/>
        </w:rPr>
        <w:t>Esimees</w:t>
      </w:r>
    </w:p>
    <w:p w14:paraId="50CDDFDD" w14:textId="3FC6AEA4" w:rsidR="005374D7" w:rsidRPr="00062129" w:rsidRDefault="005374D7" w:rsidP="00062129">
      <w:pPr>
        <w:jc w:val="both"/>
        <w:rPr>
          <w:color w:val="auto"/>
          <w:szCs w:val="24"/>
        </w:rPr>
      </w:pPr>
    </w:p>
    <w:p w14:paraId="4426AF08" w14:textId="1B159D80" w:rsidR="00856E7C" w:rsidRPr="00062129" w:rsidRDefault="00856E7C" w:rsidP="00062129">
      <w:pPr>
        <w:jc w:val="both"/>
        <w:rPr>
          <w:color w:val="auto"/>
          <w:szCs w:val="24"/>
        </w:rPr>
      </w:pPr>
    </w:p>
    <w:p w14:paraId="2747F7F1" w14:textId="77777777" w:rsidR="00856E7C" w:rsidRPr="00062129" w:rsidRDefault="00856E7C" w:rsidP="00062129">
      <w:pPr>
        <w:jc w:val="both"/>
        <w:rPr>
          <w:color w:val="auto"/>
          <w:szCs w:val="24"/>
        </w:rPr>
      </w:pPr>
    </w:p>
    <w:sectPr w:rsidR="00856E7C" w:rsidRPr="00062129">
      <w:headerReference w:type="first" r:id="rId9"/>
      <w:footerReference w:type="firs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56223" w14:textId="77777777" w:rsidR="00407142" w:rsidRDefault="00407142">
      <w:r>
        <w:separator/>
      </w:r>
    </w:p>
  </w:endnote>
  <w:endnote w:type="continuationSeparator" w:id="0">
    <w:p w14:paraId="1C79B7C4" w14:textId="77777777" w:rsidR="00407142" w:rsidRDefault="0040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HG Mincho Light J">
    <w:altName w:val="Times New Roman"/>
    <w:charset w:val="00"/>
    <w:family w:val="auto"/>
    <w:pitch w:val="variable"/>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6D18E" w14:textId="77777777" w:rsidR="009F3A95" w:rsidRDefault="00786CF3">
    <w:pPr>
      <w:pStyle w:val="Footer"/>
      <w:pBdr>
        <w:top w:val="single" w:sz="2" w:space="1" w:color="000000"/>
      </w:pBdr>
      <w:rPr>
        <w:rFonts w:ascii="Times New Roman" w:hAnsi="Times New Roman" w:cs="Times New Roman"/>
        <w:sz w:val="24"/>
        <w:szCs w:val="24"/>
      </w:rPr>
    </w:pPr>
    <w:r>
      <w:rPr>
        <w:rFonts w:ascii="Times New Roman" w:hAnsi="Times New Roman" w:cs="Times New Roman"/>
        <w:sz w:val="24"/>
        <w:szCs w:val="24"/>
      </w:rPr>
      <w:t>Rävala pst 3                              Tel 662 0665                  Konto EE871700017002181978</w:t>
    </w:r>
  </w:p>
  <w:p w14:paraId="05F1D7E2" w14:textId="77777777" w:rsidR="009F3A95" w:rsidRDefault="00786CF3">
    <w:pPr>
      <w:pStyle w:val="Footer"/>
      <w:rPr>
        <w:rFonts w:ascii="Times New Roman" w:hAnsi="Times New Roman" w:cs="Times New Roman"/>
        <w:sz w:val="24"/>
        <w:szCs w:val="24"/>
      </w:rPr>
    </w:pPr>
    <w:r>
      <w:rPr>
        <w:rFonts w:ascii="Times New Roman" w:hAnsi="Times New Roman" w:cs="Times New Roman"/>
        <w:sz w:val="24"/>
        <w:szCs w:val="24"/>
      </w:rPr>
      <w:t>10143 TALLINN                      Faks 662 0677</w:t>
    </w:r>
    <w:r>
      <w:rPr>
        <w:rFonts w:ascii="Times New Roman" w:hAnsi="Times New Roman" w:cs="Times New Roman"/>
        <w:sz w:val="24"/>
        <w:szCs w:val="24"/>
      </w:rPr>
      <w:tab/>
      <w:t xml:space="preserve">               </w:t>
    </w:r>
    <w:proofErr w:type="spellStart"/>
    <w:r>
      <w:rPr>
        <w:rFonts w:ascii="Times New Roman" w:hAnsi="Times New Roman" w:cs="Times New Roman"/>
        <w:sz w:val="24"/>
        <w:szCs w:val="24"/>
      </w:rPr>
      <w:t>Luminor</w:t>
    </w:r>
    <w:proofErr w:type="spellEnd"/>
    <w:r>
      <w:rPr>
        <w:rFonts w:ascii="Times New Roman" w:hAnsi="Times New Roman" w:cs="Times New Roman"/>
        <w:sz w:val="24"/>
        <w:szCs w:val="24"/>
      </w:rPr>
      <w:t xml:space="preserve"> Bank AS</w:t>
    </w:r>
    <w:r>
      <w:rPr>
        <w:rFonts w:ascii="Times New Roman" w:hAnsi="Times New Roman" w:cs="Times New Roman"/>
        <w:sz w:val="24"/>
        <w:szCs w:val="24"/>
      </w:rPr>
      <w:tab/>
    </w:r>
  </w:p>
  <w:p w14:paraId="29F39B6C" w14:textId="77777777" w:rsidR="009F3A95" w:rsidRDefault="00786CF3">
    <w:pPr>
      <w:pStyle w:val="Footer"/>
      <w:rPr>
        <w:rFonts w:ascii="Times New Roman" w:hAnsi="Times New Roman" w:cs="Times New Roman"/>
        <w:sz w:val="24"/>
        <w:szCs w:val="24"/>
      </w:rPr>
    </w:pPr>
    <w:proofErr w:type="spellStart"/>
    <w:r>
      <w:rPr>
        <w:rFonts w:ascii="Times New Roman" w:hAnsi="Times New Roman" w:cs="Times New Roman"/>
        <w:sz w:val="24"/>
        <w:szCs w:val="24"/>
      </w:rPr>
      <w:t>Reg</w:t>
    </w:r>
    <w:proofErr w:type="spellEnd"/>
    <w:r>
      <w:rPr>
        <w:rFonts w:ascii="Times New Roman" w:hAnsi="Times New Roman" w:cs="Times New Roman"/>
        <w:sz w:val="24"/>
        <w:szCs w:val="24"/>
      </w:rPr>
      <w:t xml:space="preserve"> kood 74000027                  E-post: advokatuur@advokatuur.ee</w:t>
    </w:r>
  </w:p>
  <w:p w14:paraId="019E390F" w14:textId="77777777" w:rsidR="009F3A95" w:rsidRDefault="000C7F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B39E4" w14:textId="77777777" w:rsidR="00407142" w:rsidRDefault="00407142">
      <w:r>
        <w:separator/>
      </w:r>
    </w:p>
  </w:footnote>
  <w:footnote w:type="continuationSeparator" w:id="0">
    <w:p w14:paraId="5810DDBD" w14:textId="77777777" w:rsidR="00407142" w:rsidRDefault="00407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AD03" w14:textId="77777777" w:rsidR="009F3A95" w:rsidRDefault="00786CF3">
    <w:pPr>
      <w:pStyle w:val="Header"/>
      <w:jc w:val="center"/>
    </w:pPr>
    <w:r>
      <w:rPr>
        <w:noProof/>
        <w:sz w:val="20"/>
        <w:lang w:eastAsia="et-EE"/>
      </w:rPr>
      <w:drawing>
        <wp:inline distT="0" distB="0" distL="0" distR="0" wp14:anchorId="39532387" wp14:editId="4586CC8E">
          <wp:extent cx="933446" cy="742950"/>
          <wp:effectExtent l="0" t="0" r="4" b="0"/>
          <wp:docPr id="1"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3446" cy="742950"/>
                  </a:xfrm>
                  <a:prstGeom prst="rect">
                    <a:avLst/>
                  </a:prstGeom>
                  <a:noFill/>
                  <a:ln>
                    <a:noFill/>
                    <a:prstDash/>
                  </a:ln>
                </pic:spPr>
              </pic:pic>
            </a:graphicData>
          </a:graphic>
        </wp:inline>
      </w:drawing>
    </w:r>
  </w:p>
  <w:p w14:paraId="404D4B05" w14:textId="77777777" w:rsidR="009F3A95" w:rsidRDefault="00786CF3">
    <w:pPr>
      <w:pBdr>
        <w:bottom w:val="single" w:sz="2" w:space="1" w:color="000000"/>
      </w:pBdr>
      <w:jc w:val="center"/>
      <w:rPr>
        <w:sz w:val="36"/>
        <w:szCs w:val="36"/>
      </w:rPr>
    </w:pPr>
    <w:r>
      <w:rPr>
        <w:sz w:val="36"/>
        <w:szCs w:val="36"/>
      </w:rPr>
      <w:t>EESTI ADVOKATUUR</w:t>
    </w:r>
  </w:p>
  <w:p w14:paraId="7043CD44" w14:textId="77777777" w:rsidR="009F3A95" w:rsidRDefault="00786CF3">
    <w:pPr>
      <w:jc w:val="center"/>
      <w:rPr>
        <w:sz w:val="25"/>
        <w:szCs w:val="25"/>
      </w:rPr>
    </w:pPr>
    <w:r>
      <w:rPr>
        <w:sz w:val="25"/>
        <w:szCs w:val="25"/>
      </w:rPr>
      <w:t>ESTONIAN BAR ASSOCIATION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F352F"/>
    <w:multiLevelType w:val="multilevel"/>
    <w:tmpl w:val="2C76F02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018D06"/>
    <w:multiLevelType w:val="hybridMultilevel"/>
    <w:tmpl w:val="AB58D7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A1A0097"/>
    <w:multiLevelType w:val="multilevel"/>
    <w:tmpl w:val="7B98DD2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CA5298E"/>
    <w:multiLevelType w:val="multilevel"/>
    <w:tmpl w:val="B4849EA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5A56266"/>
    <w:multiLevelType w:val="hybridMultilevel"/>
    <w:tmpl w:val="D9DE97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285F05"/>
    <w:multiLevelType w:val="hybridMultilevel"/>
    <w:tmpl w:val="00E1A07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99C0C2D"/>
    <w:multiLevelType w:val="multilevel"/>
    <w:tmpl w:val="999EE8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B9947D3"/>
    <w:multiLevelType w:val="multilevel"/>
    <w:tmpl w:val="BF0CB04E"/>
    <w:lvl w:ilvl="0">
      <w:start w:val="1"/>
      <w:numFmt w:val="decimal"/>
      <w:lvlText w:val="%1."/>
      <w:lvlJc w:val="left"/>
      <w:pPr>
        <w:ind w:left="720" w:hanging="360"/>
      </w:pPr>
      <w:rPr>
        <w:rFonts w:hint="default"/>
      </w:rPr>
    </w:lvl>
    <w:lvl w:ilvl="1">
      <w:start w:val="1"/>
      <w:numFmt w:val="decimal"/>
      <w:isLgl/>
      <w:lvlText w:val="%1.%2."/>
      <w:lvlJc w:val="left"/>
      <w:pPr>
        <w:ind w:left="886" w:hanging="4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31EEA0F6"/>
    <w:multiLevelType w:val="hybridMultilevel"/>
    <w:tmpl w:val="D6FC09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3E05149"/>
    <w:multiLevelType w:val="multilevel"/>
    <w:tmpl w:val="999EE8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85142B1"/>
    <w:multiLevelType w:val="hybridMultilevel"/>
    <w:tmpl w:val="29E0D7E4"/>
    <w:lvl w:ilvl="0" w:tplc="36F6E912">
      <w:start w:val="1"/>
      <w:numFmt w:val="decimal"/>
      <w:lvlText w:val="%1."/>
      <w:lvlJc w:val="left"/>
      <w:pPr>
        <w:ind w:left="1352" w:hanging="360"/>
      </w:pPr>
      <w:rPr>
        <w:i w:val="0"/>
      </w:rPr>
    </w:lvl>
    <w:lvl w:ilvl="1" w:tplc="04250019" w:tentative="1">
      <w:start w:val="1"/>
      <w:numFmt w:val="lowerLetter"/>
      <w:lvlText w:val="%2."/>
      <w:lvlJc w:val="left"/>
      <w:pPr>
        <w:ind w:left="2072" w:hanging="360"/>
      </w:pPr>
    </w:lvl>
    <w:lvl w:ilvl="2" w:tplc="0425001B" w:tentative="1">
      <w:start w:val="1"/>
      <w:numFmt w:val="lowerRoman"/>
      <w:lvlText w:val="%3."/>
      <w:lvlJc w:val="right"/>
      <w:pPr>
        <w:ind w:left="2792" w:hanging="180"/>
      </w:pPr>
    </w:lvl>
    <w:lvl w:ilvl="3" w:tplc="0425000F" w:tentative="1">
      <w:start w:val="1"/>
      <w:numFmt w:val="decimal"/>
      <w:lvlText w:val="%4."/>
      <w:lvlJc w:val="left"/>
      <w:pPr>
        <w:ind w:left="3512" w:hanging="360"/>
      </w:pPr>
    </w:lvl>
    <w:lvl w:ilvl="4" w:tplc="04250019" w:tentative="1">
      <w:start w:val="1"/>
      <w:numFmt w:val="lowerLetter"/>
      <w:lvlText w:val="%5."/>
      <w:lvlJc w:val="left"/>
      <w:pPr>
        <w:ind w:left="4232" w:hanging="360"/>
      </w:pPr>
    </w:lvl>
    <w:lvl w:ilvl="5" w:tplc="0425001B" w:tentative="1">
      <w:start w:val="1"/>
      <w:numFmt w:val="lowerRoman"/>
      <w:lvlText w:val="%6."/>
      <w:lvlJc w:val="right"/>
      <w:pPr>
        <w:ind w:left="4952" w:hanging="180"/>
      </w:pPr>
    </w:lvl>
    <w:lvl w:ilvl="6" w:tplc="0425000F" w:tentative="1">
      <w:start w:val="1"/>
      <w:numFmt w:val="decimal"/>
      <w:lvlText w:val="%7."/>
      <w:lvlJc w:val="left"/>
      <w:pPr>
        <w:ind w:left="5672" w:hanging="360"/>
      </w:pPr>
    </w:lvl>
    <w:lvl w:ilvl="7" w:tplc="04250019" w:tentative="1">
      <w:start w:val="1"/>
      <w:numFmt w:val="lowerLetter"/>
      <w:lvlText w:val="%8."/>
      <w:lvlJc w:val="left"/>
      <w:pPr>
        <w:ind w:left="6392" w:hanging="360"/>
      </w:pPr>
    </w:lvl>
    <w:lvl w:ilvl="8" w:tplc="0425001B" w:tentative="1">
      <w:start w:val="1"/>
      <w:numFmt w:val="lowerRoman"/>
      <w:lvlText w:val="%9."/>
      <w:lvlJc w:val="right"/>
      <w:pPr>
        <w:ind w:left="7112" w:hanging="180"/>
      </w:pPr>
    </w:lvl>
  </w:abstractNum>
  <w:abstractNum w:abstractNumId="11" w15:restartNumberingAfterBreak="0">
    <w:nsid w:val="3D8437B4"/>
    <w:multiLevelType w:val="multilevel"/>
    <w:tmpl w:val="46A45EB6"/>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F2E7987"/>
    <w:multiLevelType w:val="hybridMultilevel"/>
    <w:tmpl w:val="5A92FFDE"/>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431494C"/>
    <w:multiLevelType w:val="multilevel"/>
    <w:tmpl w:val="41189124"/>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A8C1F0E"/>
    <w:multiLevelType w:val="hybridMultilevel"/>
    <w:tmpl w:val="A6940D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DB132FA"/>
    <w:multiLevelType w:val="multilevel"/>
    <w:tmpl w:val="DB5AB0D8"/>
    <w:styleLink w:val="WWOutlineListStyle1"/>
    <w:lvl w:ilvl="0">
      <w:start w:val="1"/>
      <w:numFmt w:val="decimal"/>
      <w:lvlText w:val="%1"/>
      <w:lvlJc w:val="left"/>
      <w:pPr>
        <w:ind w:left="720" w:hanging="720"/>
      </w:pPr>
      <w:rPr>
        <w:rFonts w:ascii="Times New Roman" w:hAnsi="Times New Roman" w:cs="Times New Roman"/>
        <w:b/>
        <w:i w:val="0"/>
        <w:caps/>
        <w:sz w:val="24"/>
        <w:szCs w:val="2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F5E19AE"/>
    <w:multiLevelType w:val="multilevel"/>
    <w:tmpl w:val="C35C1AFC"/>
    <w:styleLink w:val="WWOutlineListStyle2"/>
    <w:lvl w:ilvl="0">
      <w:start w:val="1"/>
      <w:numFmt w:val="decimal"/>
      <w:pStyle w:val="Level1"/>
      <w:lvlText w:val="%1"/>
      <w:lvlJc w:val="left"/>
      <w:pPr>
        <w:ind w:left="720" w:hanging="720"/>
      </w:pPr>
      <w:rPr>
        <w:rFonts w:ascii="Times New Roman" w:hAnsi="Times New Roman" w:cs="Times New Roman"/>
        <w:b/>
        <w:i w:val="0"/>
        <w:caps/>
        <w:sz w:val="24"/>
        <w:szCs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0A5221A"/>
    <w:multiLevelType w:val="multilevel"/>
    <w:tmpl w:val="E8E080A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9BA5641"/>
    <w:multiLevelType w:val="multilevel"/>
    <w:tmpl w:val="8A7AECE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A8A71B7"/>
    <w:multiLevelType w:val="multilevel"/>
    <w:tmpl w:val="9BF0EA6E"/>
    <w:styleLink w:val="WWOutlineListStyle"/>
    <w:lvl w:ilvl="0">
      <w:start w:val="1"/>
      <w:numFmt w:val="decimal"/>
      <w:lvlText w:val="%1"/>
      <w:lvlJc w:val="left"/>
      <w:pPr>
        <w:ind w:left="720" w:hanging="720"/>
      </w:pPr>
      <w:rPr>
        <w:rFonts w:ascii="Times New Roman" w:hAnsi="Times New Roman" w:cs="Times New Roman"/>
        <w:b/>
        <w:i w:val="0"/>
        <w:caps/>
        <w:sz w:val="24"/>
        <w:szCs w:val="24"/>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6F0C7583"/>
    <w:multiLevelType w:val="multilevel"/>
    <w:tmpl w:val="086EB71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9017B31"/>
    <w:multiLevelType w:val="multilevel"/>
    <w:tmpl w:val="AE2C504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6"/>
  </w:num>
  <w:num w:numId="2">
    <w:abstractNumId w:val="15"/>
  </w:num>
  <w:num w:numId="3">
    <w:abstractNumId w:val="19"/>
  </w:num>
  <w:num w:numId="4">
    <w:abstractNumId w:val="7"/>
  </w:num>
  <w:num w:numId="5">
    <w:abstractNumId w:val="1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num>
  <w:num w:numId="18">
    <w:abstractNumId w:val="12"/>
  </w:num>
  <w:num w:numId="19">
    <w:abstractNumId w:val="1"/>
  </w:num>
  <w:num w:numId="20">
    <w:abstractNumId w:val="8"/>
  </w:num>
  <w:num w:numId="21">
    <w:abstractNumId w:val="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E7B"/>
    <w:rsid w:val="000163E6"/>
    <w:rsid w:val="00016F3A"/>
    <w:rsid w:val="00025544"/>
    <w:rsid w:val="000309A7"/>
    <w:rsid w:val="00032E62"/>
    <w:rsid w:val="000343CE"/>
    <w:rsid w:val="0003448E"/>
    <w:rsid w:val="00036BDC"/>
    <w:rsid w:val="00054ACE"/>
    <w:rsid w:val="00057882"/>
    <w:rsid w:val="00060DC9"/>
    <w:rsid w:val="00062129"/>
    <w:rsid w:val="0006256E"/>
    <w:rsid w:val="00093C73"/>
    <w:rsid w:val="000956B3"/>
    <w:rsid w:val="00096EEB"/>
    <w:rsid w:val="000A0E10"/>
    <w:rsid w:val="000C6BF5"/>
    <w:rsid w:val="000C759D"/>
    <w:rsid w:val="000C7F99"/>
    <w:rsid w:val="000E0D7C"/>
    <w:rsid w:val="000E1411"/>
    <w:rsid w:val="000E6B91"/>
    <w:rsid w:val="0010394B"/>
    <w:rsid w:val="00106BDD"/>
    <w:rsid w:val="001214A2"/>
    <w:rsid w:val="001236C4"/>
    <w:rsid w:val="00136705"/>
    <w:rsid w:val="001738DF"/>
    <w:rsid w:val="00175179"/>
    <w:rsid w:val="00176188"/>
    <w:rsid w:val="00182872"/>
    <w:rsid w:val="001C38C1"/>
    <w:rsid w:val="001D1F55"/>
    <w:rsid w:val="001E0FE2"/>
    <w:rsid w:val="001E2ED9"/>
    <w:rsid w:val="00205753"/>
    <w:rsid w:val="00207475"/>
    <w:rsid w:val="00215ED8"/>
    <w:rsid w:val="002223C1"/>
    <w:rsid w:val="00224658"/>
    <w:rsid w:val="002321C4"/>
    <w:rsid w:val="0023568C"/>
    <w:rsid w:val="0025096A"/>
    <w:rsid w:val="00257ED5"/>
    <w:rsid w:val="00265F6C"/>
    <w:rsid w:val="00266109"/>
    <w:rsid w:val="002905D4"/>
    <w:rsid w:val="002A5374"/>
    <w:rsid w:val="002B3319"/>
    <w:rsid w:val="002B74A2"/>
    <w:rsid w:val="003012C8"/>
    <w:rsid w:val="00311185"/>
    <w:rsid w:val="00344B68"/>
    <w:rsid w:val="00357C6E"/>
    <w:rsid w:val="00361EBD"/>
    <w:rsid w:val="00365F97"/>
    <w:rsid w:val="00370BC5"/>
    <w:rsid w:val="003724F8"/>
    <w:rsid w:val="00374844"/>
    <w:rsid w:val="003A0FFC"/>
    <w:rsid w:val="003A4078"/>
    <w:rsid w:val="003B5A15"/>
    <w:rsid w:val="003E08DA"/>
    <w:rsid w:val="003E2B6C"/>
    <w:rsid w:val="003F2C58"/>
    <w:rsid w:val="00402933"/>
    <w:rsid w:val="00403B37"/>
    <w:rsid w:val="00407142"/>
    <w:rsid w:val="00416CAA"/>
    <w:rsid w:val="00417D3C"/>
    <w:rsid w:val="00420E24"/>
    <w:rsid w:val="00424549"/>
    <w:rsid w:val="00431A97"/>
    <w:rsid w:val="00445E03"/>
    <w:rsid w:val="0046020D"/>
    <w:rsid w:val="00485315"/>
    <w:rsid w:val="00486D1C"/>
    <w:rsid w:val="004A5483"/>
    <w:rsid w:val="004D3F8B"/>
    <w:rsid w:val="004D4A97"/>
    <w:rsid w:val="004E5897"/>
    <w:rsid w:val="004F0145"/>
    <w:rsid w:val="004F2145"/>
    <w:rsid w:val="004F669E"/>
    <w:rsid w:val="005013D6"/>
    <w:rsid w:val="00503FF7"/>
    <w:rsid w:val="0051073B"/>
    <w:rsid w:val="005113DB"/>
    <w:rsid w:val="00533556"/>
    <w:rsid w:val="005374D7"/>
    <w:rsid w:val="00581A67"/>
    <w:rsid w:val="00583440"/>
    <w:rsid w:val="0058595A"/>
    <w:rsid w:val="005A0565"/>
    <w:rsid w:val="005A345B"/>
    <w:rsid w:val="005E2D7A"/>
    <w:rsid w:val="005E35F5"/>
    <w:rsid w:val="005E3A59"/>
    <w:rsid w:val="005F70D5"/>
    <w:rsid w:val="00644339"/>
    <w:rsid w:val="0065131D"/>
    <w:rsid w:val="00660141"/>
    <w:rsid w:val="0066613D"/>
    <w:rsid w:val="00666903"/>
    <w:rsid w:val="00676A1E"/>
    <w:rsid w:val="006900B4"/>
    <w:rsid w:val="006C6DFD"/>
    <w:rsid w:val="006D73EB"/>
    <w:rsid w:val="0075495F"/>
    <w:rsid w:val="0075532D"/>
    <w:rsid w:val="007601B4"/>
    <w:rsid w:val="007774A7"/>
    <w:rsid w:val="00777CE6"/>
    <w:rsid w:val="00786CF3"/>
    <w:rsid w:val="007A31F5"/>
    <w:rsid w:val="007B405C"/>
    <w:rsid w:val="007D1047"/>
    <w:rsid w:val="007D6C06"/>
    <w:rsid w:val="007E7933"/>
    <w:rsid w:val="00813D69"/>
    <w:rsid w:val="0083301A"/>
    <w:rsid w:val="008345C8"/>
    <w:rsid w:val="008505B1"/>
    <w:rsid w:val="00855B03"/>
    <w:rsid w:val="00856E7C"/>
    <w:rsid w:val="00860074"/>
    <w:rsid w:val="0086210A"/>
    <w:rsid w:val="00881352"/>
    <w:rsid w:val="00882EFB"/>
    <w:rsid w:val="00896B05"/>
    <w:rsid w:val="008B277B"/>
    <w:rsid w:val="008B5A02"/>
    <w:rsid w:val="008F6E7B"/>
    <w:rsid w:val="00900D9F"/>
    <w:rsid w:val="009118FE"/>
    <w:rsid w:val="00922C8D"/>
    <w:rsid w:val="009328FB"/>
    <w:rsid w:val="00951B67"/>
    <w:rsid w:val="00963C7E"/>
    <w:rsid w:val="00971ED5"/>
    <w:rsid w:val="0098293D"/>
    <w:rsid w:val="009860D9"/>
    <w:rsid w:val="009A4410"/>
    <w:rsid w:val="009B01B6"/>
    <w:rsid w:val="009C209E"/>
    <w:rsid w:val="009D28EA"/>
    <w:rsid w:val="009D5EB4"/>
    <w:rsid w:val="009E347C"/>
    <w:rsid w:val="00A04F03"/>
    <w:rsid w:val="00A138E9"/>
    <w:rsid w:val="00A2216C"/>
    <w:rsid w:val="00A248F3"/>
    <w:rsid w:val="00A30444"/>
    <w:rsid w:val="00A30457"/>
    <w:rsid w:val="00A312E3"/>
    <w:rsid w:val="00A33D58"/>
    <w:rsid w:val="00A5441E"/>
    <w:rsid w:val="00A55231"/>
    <w:rsid w:val="00AA6021"/>
    <w:rsid w:val="00AA6CD9"/>
    <w:rsid w:val="00AA76BB"/>
    <w:rsid w:val="00AB1F07"/>
    <w:rsid w:val="00AB69D3"/>
    <w:rsid w:val="00AD7868"/>
    <w:rsid w:val="00AE38DF"/>
    <w:rsid w:val="00AF2921"/>
    <w:rsid w:val="00B02C04"/>
    <w:rsid w:val="00B4549D"/>
    <w:rsid w:val="00B56CB8"/>
    <w:rsid w:val="00B8099B"/>
    <w:rsid w:val="00B93312"/>
    <w:rsid w:val="00B97939"/>
    <w:rsid w:val="00BC6DD6"/>
    <w:rsid w:val="00BD2B02"/>
    <w:rsid w:val="00BE14E3"/>
    <w:rsid w:val="00BE1FF0"/>
    <w:rsid w:val="00BE599E"/>
    <w:rsid w:val="00BE7E04"/>
    <w:rsid w:val="00BF051D"/>
    <w:rsid w:val="00C04AA0"/>
    <w:rsid w:val="00C3358D"/>
    <w:rsid w:val="00C507EE"/>
    <w:rsid w:val="00C578B3"/>
    <w:rsid w:val="00C62B8F"/>
    <w:rsid w:val="00C631B6"/>
    <w:rsid w:val="00C869F4"/>
    <w:rsid w:val="00C9610D"/>
    <w:rsid w:val="00C96509"/>
    <w:rsid w:val="00CC76EF"/>
    <w:rsid w:val="00CD344B"/>
    <w:rsid w:val="00CD53E5"/>
    <w:rsid w:val="00CD7D6D"/>
    <w:rsid w:val="00CE1472"/>
    <w:rsid w:val="00CE7BB2"/>
    <w:rsid w:val="00CF419A"/>
    <w:rsid w:val="00D0289A"/>
    <w:rsid w:val="00D31C05"/>
    <w:rsid w:val="00D45E92"/>
    <w:rsid w:val="00D50C01"/>
    <w:rsid w:val="00D57207"/>
    <w:rsid w:val="00D70C16"/>
    <w:rsid w:val="00D80795"/>
    <w:rsid w:val="00DC300A"/>
    <w:rsid w:val="00DF247C"/>
    <w:rsid w:val="00DF704A"/>
    <w:rsid w:val="00E02236"/>
    <w:rsid w:val="00E02F5E"/>
    <w:rsid w:val="00E144AD"/>
    <w:rsid w:val="00E26D32"/>
    <w:rsid w:val="00E400FF"/>
    <w:rsid w:val="00E41AC9"/>
    <w:rsid w:val="00E43DCD"/>
    <w:rsid w:val="00E4576F"/>
    <w:rsid w:val="00E66BB8"/>
    <w:rsid w:val="00E67583"/>
    <w:rsid w:val="00E71C50"/>
    <w:rsid w:val="00E71DF5"/>
    <w:rsid w:val="00E7514D"/>
    <w:rsid w:val="00E81145"/>
    <w:rsid w:val="00EA0170"/>
    <w:rsid w:val="00ED4CF6"/>
    <w:rsid w:val="00EF0F9B"/>
    <w:rsid w:val="00F0017A"/>
    <w:rsid w:val="00F2672D"/>
    <w:rsid w:val="00F415A6"/>
    <w:rsid w:val="00F50D38"/>
    <w:rsid w:val="00F710C4"/>
    <w:rsid w:val="00F72243"/>
    <w:rsid w:val="00F944E8"/>
    <w:rsid w:val="00F954B9"/>
    <w:rsid w:val="00FB4B2B"/>
    <w:rsid w:val="00FD2712"/>
    <w:rsid w:val="00FD3AD4"/>
    <w:rsid w:val="00FE5A65"/>
    <w:rsid w:val="00FF0D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83455"/>
  <w15:docId w15:val="{E758BC1B-7CA5-42EF-8FB0-779E88CED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et-EE"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spacing w:after="0" w:line="240" w:lineRule="auto"/>
    </w:pPr>
    <w:rPr>
      <w:rFonts w:ascii="Times New Roman" w:eastAsia="HG Mincho Light J" w:hAnsi="Times New Roman" w:cs="Times New Roman"/>
      <w:color w:val="000000"/>
      <w:sz w:val="24"/>
      <w:szCs w:val="20"/>
      <w:lang w:eastAsia="et-EE"/>
    </w:rPr>
  </w:style>
  <w:style w:type="paragraph" w:styleId="Heading1">
    <w:name w:val="heading 1"/>
    <w:basedOn w:val="Normal"/>
    <w:pPr>
      <w:widowControl/>
      <w:suppressAutoHyphens w:val="0"/>
      <w:spacing w:before="100" w:after="100"/>
      <w:textAlignment w:val="auto"/>
      <w:outlineLvl w:val="0"/>
    </w:pPr>
    <w:rPr>
      <w:rFonts w:eastAsia="Times New Roman"/>
      <w:b/>
      <w:bCs/>
      <w:color w:val="auto"/>
      <w:kern w:val="3"/>
      <w:sz w:val="48"/>
      <w:szCs w:val="48"/>
    </w:rPr>
  </w:style>
  <w:style w:type="paragraph" w:styleId="Heading3">
    <w:name w:val="heading 3"/>
    <w:basedOn w:val="Normal"/>
    <w:next w:val="Normal"/>
    <w:link w:val="Heading3Char"/>
    <w:uiPriority w:val="9"/>
    <w:semiHidden/>
    <w:unhideWhenUsed/>
    <w:qFormat/>
    <w:rsid w:val="009E347C"/>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2">
    <w:name w:val="WW_OutlineListStyle_2"/>
    <w:basedOn w:val="NoList"/>
    <w:pPr>
      <w:numPr>
        <w:numId w:val="1"/>
      </w:numPr>
    </w:pPr>
  </w:style>
  <w:style w:type="paragraph" w:customStyle="1" w:styleId="Level1">
    <w:name w:val="Level 1"/>
    <w:basedOn w:val="ListParagraph"/>
    <w:pPr>
      <w:widowControl/>
      <w:numPr>
        <w:numId w:val="1"/>
      </w:numPr>
      <w:suppressAutoHyphens w:val="0"/>
      <w:spacing w:before="360" w:after="240"/>
      <w:jc w:val="both"/>
      <w:textAlignment w:val="auto"/>
      <w:outlineLvl w:val="0"/>
    </w:pPr>
    <w:rPr>
      <w:rFonts w:ascii="Arial" w:eastAsia="Calibri" w:hAnsi="Arial"/>
      <w:b/>
      <w:caps/>
      <w:color w:val="auto"/>
      <w:sz w:val="20"/>
      <w:szCs w:val="24"/>
      <w:lang w:eastAsia="en-US"/>
    </w:rPr>
  </w:style>
  <w:style w:type="character" w:styleId="CommentReference">
    <w:name w:val="annotation reference"/>
    <w:basedOn w:val="DefaultParagraphFont"/>
    <w:rPr>
      <w:sz w:val="16"/>
      <w:szCs w:val="16"/>
    </w:rPr>
  </w:style>
  <w:style w:type="paragraph" w:styleId="Header">
    <w:name w:val="header"/>
    <w:basedOn w:val="Normal"/>
    <w:pPr>
      <w:widowControl/>
      <w:tabs>
        <w:tab w:val="center" w:pos="4536"/>
        <w:tab w:val="right" w:pos="9072"/>
      </w:tabs>
    </w:pPr>
    <w:rPr>
      <w:rFonts w:ascii="Calibri" w:eastAsia="Calibri" w:hAnsi="Calibri" w:cs="Arial"/>
      <w:color w:val="auto"/>
      <w:sz w:val="22"/>
      <w:szCs w:val="22"/>
      <w:lang w:eastAsia="en-US"/>
    </w:rPr>
  </w:style>
  <w:style w:type="character" w:customStyle="1" w:styleId="HeaderChar">
    <w:name w:val="Header Char"/>
    <w:basedOn w:val="DefaultParagraphFont"/>
  </w:style>
  <w:style w:type="paragraph" w:styleId="Footer">
    <w:name w:val="footer"/>
    <w:basedOn w:val="Normal"/>
    <w:pPr>
      <w:widowControl/>
      <w:tabs>
        <w:tab w:val="center" w:pos="4536"/>
        <w:tab w:val="right" w:pos="9072"/>
      </w:tabs>
    </w:pPr>
    <w:rPr>
      <w:rFonts w:ascii="Calibri" w:eastAsia="Calibri" w:hAnsi="Calibri" w:cs="Arial"/>
      <w:color w:val="auto"/>
      <w:sz w:val="22"/>
      <w:szCs w:val="22"/>
      <w:lang w:eastAsia="en-US"/>
    </w:rPr>
  </w:style>
  <w:style w:type="character" w:customStyle="1" w:styleId="FooterChar">
    <w:name w:val="Footer Char"/>
    <w:basedOn w:val="DefaultParagraphFont"/>
  </w:style>
  <w:style w:type="character" w:styleId="Hyperlink">
    <w:name w:val="Hyperlink"/>
    <w:rPr>
      <w:color w:val="0000FF"/>
      <w:u w:val="single"/>
    </w:rPr>
  </w:style>
  <w:style w:type="paragraph" w:styleId="FootnoteText">
    <w:name w:val="footnote text"/>
    <w:basedOn w:val="Normal"/>
    <w:uiPriority w:val="99"/>
    <w:rPr>
      <w:sz w:val="20"/>
    </w:rPr>
  </w:style>
  <w:style w:type="character" w:customStyle="1" w:styleId="FootnoteTextChar">
    <w:name w:val="Footnote Text Char"/>
    <w:basedOn w:val="DefaultParagraphFont"/>
    <w:uiPriority w:val="99"/>
    <w:rPr>
      <w:rFonts w:ascii="Times New Roman" w:eastAsia="HG Mincho Light J" w:hAnsi="Times New Roman" w:cs="Times New Roman"/>
      <w:color w:val="000000"/>
      <w:sz w:val="20"/>
      <w:szCs w:val="20"/>
      <w:lang w:eastAsia="et-EE"/>
    </w:rPr>
  </w:style>
  <w:style w:type="character" w:styleId="FootnoteReference">
    <w:name w:val="footnote reference"/>
    <w:basedOn w:val="DefaultParagraphFont"/>
    <w:uiPriority w:val="99"/>
    <w:rPr>
      <w:position w:val="0"/>
      <w:vertAlign w:val="superscript"/>
    </w:rPr>
  </w:style>
  <w:style w:type="paragraph" w:styleId="ListParagraph">
    <w:name w:val="List Paragraph"/>
    <w:basedOn w:val="Normal"/>
    <w:pPr>
      <w:ind w:left="720"/>
    </w:pPr>
  </w:style>
  <w:style w:type="character" w:customStyle="1" w:styleId="UnresolvedMention1">
    <w:name w:val="Unresolved Mention1"/>
    <w:basedOn w:val="DefaultParagraphFont"/>
    <w:rPr>
      <w:color w:val="808080"/>
      <w:shd w:val="clear" w:color="auto" w:fill="E6E6E6"/>
    </w:rPr>
  </w:style>
  <w:style w:type="character" w:styleId="FollowedHyperlink">
    <w:name w:val="FollowedHyperlink"/>
    <w:basedOn w:val="DefaultParagraphFont"/>
    <w:rPr>
      <w:color w:val="954F72"/>
      <w:u w:val="single"/>
    </w:rPr>
  </w:style>
  <w:style w:type="paragraph" w:styleId="NoSpacing">
    <w:name w:val="No Spacing"/>
    <w:uiPriority w:val="1"/>
    <w:qFormat/>
    <w:pPr>
      <w:spacing w:after="0" w:line="240" w:lineRule="auto"/>
      <w:textAlignment w:val="auto"/>
    </w:pPr>
    <w:rPr>
      <w:rFonts w:ascii="Times New Roman" w:hAnsi="Times New Roman" w:cs="Times New Roman"/>
      <w:sz w:val="24"/>
    </w:rPr>
  </w:style>
  <w:style w:type="character" w:customStyle="1" w:styleId="apple-converted-space">
    <w:name w:val="apple-converted-space"/>
    <w:basedOn w:val="DefaultParagraphFont"/>
  </w:style>
  <w:style w:type="paragraph" w:customStyle="1" w:styleId="Default">
    <w:name w:val="Default"/>
    <w:pPr>
      <w:autoSpaceDE w:val="0"/>
      <w:spacing w:after="0" w:line="240" w:lineRule="auto"/>
      <w:textAlignment w:val="auto"/>
    </w:pPr>
    <w:rPr>
      <w:rFonts w:ascii="Times New Roman" w:eastAsia="Times New Roman" w:hAnsi="Times New Roman" w:cs="Times New Roman"/>
      <w:color w:val="000000"/>
      <w:sz w:val="24"/>
      <w:szCs w:val="24"/>
      <w:lang w:eastAsia="et-EE"/>
    </w:rPr>
  </w:style>
  <w:style w:type="paragraph" w:customStyle="1" w:styleId="Level2">
    <w:name w:val="Level 2"/>
    <w:basedOn w:val="Level1"/>
    <w:pPr>
      <w:numPr>
        <w:numId w:val="0"/>
      </w:numPr>
      <w:spacing w:before="0"/>
    </w:pPr>
    <w:rPr>
      <w:b w:val="0"/>
      <w:caps w:val="0"/>
    </w:rPr>
  </w:style>
  <w:style w:type="paragraph" w:customStyle="1" w:styleId="Level3">
    <w:name w:val="Level 3"/>
    <w:basedOn w:val="Level2"/>
  </w:style>
  <w:style w:type="paragraph" w:customStyle="1" w:styleId="Level4">
    <w:name w:val="Level 4"/>
    <w:basedOn w:val="Level3"/>
    <w:rPr>
      <w:i/>
    </w:rPr>
  </w:style>
  <w:style w:type="paragraph" w:customStyle="1" w:styleId="Level5">
    <w:name w:val="Level 5"/>
    <w:basedOn w:val="Level4"/>
    <w:rPr>
      <w:i w:val="0"/>
    </w:rPr>
  </w:style>
  <w:style w:type="paragraph" w:customStyle="1" w:styleId="Level6">
    <w:name w:val="Level 6"/>
    <w:basedOn w:val="Level5"/>
  </w:style>
  <w:style w:type="paragraph" w:styleId="CommentText">
    <w:name w:val="annotation text"/>
    <w:basedOn w:val="Normal"/>
    <w:rPr>
      <w:sz w:val="20"/>
    </w:rPr>
  </w:style>
  <w:style w:type="character" w:customStyle="1" w:styleId="CommentTextChar">
    <w:name w:val="Comment Text Char"/>
    <w:basedOn w:val="DefaultParagraphFont"/>
    <w:rPr>
      <w:rFonts w:ascii="Times New Roman" w:eastAsia="HG Mincho Light J" w:hAnsi="Times New Roman" w:cs="Times New Roman"/>
      <w:color w:val="000000"/>
      <w:sz w:val="20"/>
      <w:szCs w:val="20"/>
      <w:lang w:eastAsia="et-EE"/>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HG Mincho Light J" w:hAnsi="Times New Roman" w:cs="Times New Roman"/>
      <w:b/>
      <w:bCs/>
      <w:color w:val="000000"/>
      <w:sz w:val="20"/>
      <w:szCs w:val="20"/>
      <w:lang w:eastAsia="et-EE"/>
    </w:rPr>
  </w:style>
  <w:style w:type="paragraph" w:styleId="Revision">
    <w:name w:val="Revision"/>
    <w:pPr>
      <w:spacing w:after="0" w:line="240" w:lineRule="auto"/>
      <w:textAlignment w:val="auto"/>
    </w:pPr>
    <w:rPr>
      <w:rFonts w:ascii="Times New Roman" w:eastAsia="HG Mincho Light J" w:hAnsi="Times New Roman" w:cs="Times New Roman"/>
      <w:color w:val="000000"/>
      <w:sz w:val="24"/>
      <w:szCs w:val="20"/>
      <w:lang w:eastAsia="et-EE"/>
    </w:rPr>
  </w:style>
  <w:style w:type="paragraph" w:styleId="BalloonText">
    <w:name w:val="Balloon Text"/>
    <w:basedOn w:val="Normal"/>
    <w:rPr>
      <w:rFonts w:ascii="Segoe UI" w:hAnsi="Segoe UI" w:cs="Segoe UI"/>
      <w:sz w:val="18"/>
      <w:szCs w:val="18"/>
    </w:rPr>
  </w:style>
  <w:style w:type="character" w:customStyle="1" w:styleId="BalloonTextChar">
    <w:name w:val="Balloon Text Char"/>
    <w:basedOn w:val="DefaultParagraphFont"/>
    <w:rPr>
      <w:rFonts w:ascii="Segoe UI" w:eastAsia="HG Mincho Light J" w:hAnsi="Segoe UI" w:cs="Segoe UI"/>
      <w:color w:val="000000"/>
      <w:sz w:val="18"/>
      <w:szCs w:val="18"/>
      <w:lang w:eastAsia="et-EE"/>
    </w:rPr>
  </w:style>
  <w:style w:type="character" w:customStyle="1" w:styleId="Heading1Char">
    <w:name w:val="Heading 1 Char"/>
    <w:basedOn w:val="DefaultParagraphFont"/>
    <w:rPr>
      <w:rFonts w:ascii="Times New Roman" w:eastAsia="Times New Roman" w:hAnsi="Times New Roman" w:cs="Times New Roman"/>
      <w:b/>
      <w:bCs/>
      <w:kern w:val="3"/>
      <w:sz w:val="48"/>
      <w:szCs w:val="48"/>
      <w:lang w:eastAsia="et-EE"/>
    </w:rPr>
  </w:style>
  <w:style w:type="paragraph" w:customStyle="1" w:styleId="vv">
    <w:name w:val="vv"/>
    <w:basedOn w:val="Normal"/>
    <w:pPr>
      <w:widowControl/>
      <w:suppressAutoHyphens w:val="0"/>
      <w:spacing w:before="100" w:after="100"/>
      <w:textAlignment w:val="auto"/>
    </w:pPr>
    <w:rPr>
      <w:rFonts w:eastAsia="Times New Roman"/>
      <w:color w:val="auto"/>
      <w:szCs w:val="24"/>
    </w:rPr>
  </w:style>
  <w:style w:type="paragraph" w:styleId="NormalWeb">
    <w:name w:val="Normal (Web)"/>
    <w:basedOn w:val="Normal"/>
    <w:pPr>
      <w:widowControl/>
      <w:suppressAutoHyphens w:val="0"/>
      <w:spacing w:before="100" w:after="100"/>
      <w:textAlignment w:val="auto"/>
    </w:pPr>
    <w:rPr>
      <w:rFonts w:eastAsia="Times New Roman"/>
      <w:color w:val="auto"/>
      <w:szCs w:val="24"/>
    </w:rPr>
  </w:style>
  <w:style w:type="character" w:styleId="Strong">
    <w:name w:val="Strong"/>
    <w:basedOn w:val="DefaultParagraphFont"/>
    <w:rPr>
      <w:b/>
      <w:bCs/>
    </w:rPr>
  </w:style>
  <w:style w:type="numbering" w:customStyle="1" w:styleId="WWOutlineListStyle1">
    <w:name w:val="WW_OutlineListStyle_1"/>
    <w:basedOn w:val="NoList"/>
    <w:pPr>
      <w:numPr>
        <w:numId w:val="2"/>
      </w:numPr>
    </w:pPr>
  </w:style>
  <w:style w:type="numbering" w:customStyle="1" w:styleId="WWOutlineListStyle">
    <w:name w:val="WW_OutlineListStyle"/>
    <w:basedOn w:val="NoList"/>
    <w:pPr>
      <w:numPr>
        <w:numId w:val="3"/>
      </w:numPr>
    </w:pPr>
  </w:style>
  <w:style w:type="character" w:customStyle="1" w:styleId="Heading3Char">
    <w:name w:val="Heading 3 Char"/>
    <w:basedOn w:val="DefaultParagraphFont"/>
    <w:link w:val="Heading3"/>
    <w:uiPriority w:val="9"/>
    <w:semiHidden/>
    <w:rsid w:val="009E347C"/>
    <w:rPr>
      <w:rFonts w:asciiTheme="majorHAnsi" w:eastAsiaTheme="majorEastAsia" w:hAnsiTheme="majorHAnsi" w:cstheme="majorBidi"/>
      <w:color w:val="1F3763" w:themeColor="accent1" w:themeShade="7F"/>
      <w:sz w:val="24"/>
      <w:szCs w:val="24"/>
      <w:lang w:eastAsia="et-EE"/>
    </w:rPr>
  </w:style>
  <w:style w:type="character" w:styleId="UnresolvedMention">
    <w:name w:val="Unresolved Mention"/>
    <w:basedOn w:val="DefaultParagraphFont"/>
    <w:uiPriority w:val="99"/>
    <w:semiHidden/>
    <w:unhideWhenUsed/>
    <w:rsid w:val="00AD7868"/>
    <w:rPr>
      <w:color w:val="808080"/>
      <w:shd w:val="clear" w:color="auto" w:fill="E6E6E6"/>
    </w:rPr>
  </w:style>
  <w:style w:type="paragraph" w:customStyle="1" w:styleId="xxmsolistparagraph">
    <w:name w:val="x_xmsolistparagraph"/>
    <w:basedOn w:val="Normal"/>
    <w:rsid w:val="00F2672D"/>
    <w:pPr>
      <w:widowControl/>
      <w:suppressAutoHyphens w:val="0"/>
      <w:autoSpaceDN/>
      <w:ind w:left="720"/>
      <w:textAlignment w:val="auto"/>
    </w:pPr>
    <w:rPr>
      <w:rFonts w:ascii="Calibri" w:eastAsiaTheme="minorHAnsi" w:hAnsi="Calibri" w:cs="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337666">
      <w:bodyDiv w:val="1"/>
      <w:marLeft w:val="0"/>
      <w:marRight w:val="0"/>
      <w:marTop w:val="0"/>
      <w:marBottom w:val="0"/>
      <w:divBdr>
        <w:top w:val="none" w:sz="0" w:space="0" w:color="auto"/>
        <w:left w:val="none" w:sz="0" w:space="0" w:color="auto"/>
        <w:bottom w:val="none" w:sz="0" w:space="0" w:color="auto"/>
        <w:right w:val="none" w:sz="0" w:space="0" w:color="auto"/>
      </w:divBdr>
    </w:div>
    <w:div w:id="673844786">
      <w:bodyDiv w:val="1"/>
      <w:marLeft w:val="0"/>
      <w:marRight w:val="0"/>
      <w:marTop w:val="0"/>
      <w:marBottom w:val="0"/>
      <w:divBdr>
        <w:top w:val="none" w:sz="0" w:space="0" w:color="auto"/>
        <w:left w:val="none" w:sz="0" w:space="0" w:color="auto"/>
        <w:bottom w:val="none" w:sz="0" w:space="0" w:color="auto"/>
        <w:right w:val="none" w:sz="0" w:space="0" w:color="auto"/>
      </w:divBdr>
    </w:div>
    <w:div w:id="691616391">
      <w:bodyDiv w:val="1"/>
      <w:marLeft w:val="0"/>
      <w:marRight w:val="0"/>
      <w:marTop w:val="0"/>
      <w:marBottom w:val="0"/>
      <w:divBdr>
        <w:top w:val="none" w:sz="0" w:space="0" w:color="auto"/>
        <w:left w:val="none" w:sz="0" w:space="0" w:color="auto"/>
        <w:bottom w:val="none" w:sz="0" w:space="0" w:color="auto"/>
        <w:right w:val="none" w:sz="0" w:space="0" w:color="auto"/>
      </w:divBdr>
    </w:div>
    <w:div w:id="842359078">
      <w:bodyDiv w:val="1"/>
      <w:marLeft w:val="0"/>
      <w:marRight w:val="0"/>
      <w:marTop w:val="0"/>
      <w:marBottom w:val="0"/>
      <w:divBdr>
        <w:top w:val="none" w:sz="0" w:space="0" w:color="auto"/>
        <w:left w:val="none" w:sz="0" w:space="0" w:color="auto"/>
        <w:bottom w:val="none" w:sz="0" w:space="0" w:color="auto"/>
        <w:right w:val="none" w:sz="0" w:space="0" w:color="auto"/>
      </w:divBdr>
    </w:div>
    <w:div w:id="868614566">
      <w:bodyDiv w:val="1"/>
      <w:marLeft w:val="0"/>
      <w:marRight w:val="0"/>
      <w:marTop w:val="0"/>
      <w:marBottom w:val="0"/>
      <w:divBdr>
        <w:top w:val="none" w:sz="0" w:space="0" w:color="auto"/>
        <w:left w:val="none" w:sz="0" w:space="0" w:color="auto"/>
        <w:bottom w:val="none" w:sz="0" w:space="0" w:color="auto"/>
        <w:right w:val="none" w:sz="0" w:space="0" w:color="auto"/>
      </w:divBdr>
    </w:div>
    <w:div w:id="924412781">
      <w:bodyDiv w:val="1"/>
      <w:marLeft w:val="0"/>
      <w:marRight w:val="0"/>
      <w:marTop w:val="0"/>
      <w:marBottom w:val="0"/>
      <w:divBdr>
        <w:top w:val="none" w:sz="0" w:space="0" w:color="auto"/>
        <w:left w:val="none" w:sz="0" w:space="0" w:color="auto"/>
        <w:bottom w:val="none" w:sz="0" w:space="0" w:color="auto"/>
        <w:right w:val="none" w:sz="0" w:space="0" w:color="auto"/>
      </w:divBdr>
    </w:div>
    <w:div w:id="1075519411">
      <w:bodyDiv w:val="1"/>
      <w:marLeft w:val="0"/>
      <w:marRight w:val="0"/>
      <w:marTop w:val="0"/>
      <w:marBottom w:val="0"/>
      <w:divBdr>
        <w:top w:val="none" w:sz="0" w:space="0" w:color="auto"/>
        <w:left w:val="none" w:sz="0" w:space="0" w:color="auto"/>
        <w:bottom w:val="none" w:sz="0" w:space="0" w:color="auto"/>
        <w:right w:val="none" w:sz="0" w:space="0" w:color="auto"/>
      </w:divBdr>
    </w:div>
    <w:div w:id="1095437359">
      <w:bodyDiv w:val="1"/>
      <w:marLeft w:val="0"/>
      <w:marRight w:val="0"/>
      <w:marTop w:val="0"/>
      <w:marBottom w:val="0"/>
      <w:divBdr>
        <w:top w:val="none" w:sz="0" w:space="0" w:color="auto"/>
        <w:left w:val="none" w:sz="0" w:space="0" w:color="auto"/>
        <w:bottom w:val="none" w:sz="0" w:space="0" w:color="auto"/>
        <w:right w:val="none" w:sz="0" w:space="0" w:color="auto"/>
      </w:divBdr>
      <w:divsChild>
        <w:div w:id="2060474038">
          <w:marLeft w:val="0"/>
          <w:marRight w:val="0"/>
          <w:marTop w:val="0"/>
          <w:marBottom w:val="0"/>
          <w:divBdr>
            <w:top w:val="none" w:sz="0" w:space="0" w:color="auto"/>
            <w:left w:val="none" w:sz="0" w:space="0" w:color="auto"/>
            <w:bottom w:val="none" w:sz="0" w:space="0" w:color="auto"/>
            <w:right w:val="none" w:sz="0" w:space="0" w:color="auto"/>
          </w:divBdr>
        </w:div>
        <w:div w:id="708993357">
          <w:marLeft w:val="0"/>
          <w:marRight w:val="0"/>
          <w:marTop w:val="0"/>
          <w:marBottom w:val="0"/>
          <w:divBdr>
            <w:top w:val="none" w:sz="0" w:space="0" w:color="auto"/>
            <w:left w:val="none" w:sz="0" w:space="0" w:color="auto"/>
            <w:bottom w:val="none" w:sz="0" w:space="0" w:color="auto"/>
            <w:right w:val="none" w:sz="0" w:space="0" w:color="auto"/>
          </w:divBdr>
        </w:div>
        <w:div w:id="1683237485">
          <w:marLeft w:val="0"/>
          <w:marRight w:val="0"/>
          <w:marTop w:val="0"/>
          <w:marBottom w:val="0"/>
          <w:divBdr>
            <w:top w:val="none" w:sz="0" w:space="0" w:color="auto"/>
            <w:left w:val="none" w:sz="0" w:space="0" w:color="auto"/>
            <w:bottom w:val="none" w:sz="0" w:space="0" w:color="auto"/>
            <w:right w:val="none" w:sz="0" w:space="0" w:color="auto"/>
          </w:divBdr>
        </w:div>
        <w:div w:id="442576088">
          <w:marLeft w:val="0"/>
          <w:marRight w:val="0"/>
          <w:marTop w:val="0"/>
          <w:marBottom w:val="0"/>
          <w:divBdr>
            <w:top w:val="none" w:sz="0" w:space="0" w:color="auto"/>
            <w:left w:val="none" w:sz="0" w:space="0" w:color="auto"/>
            <w:bottom w:val="none" w:sz="0" w:space="0" w:color="auto"/>
            <w:right w:val="none" w:sz="0" w:space="0" w:color="auto"/>
          </w:divBdr>
        </w:div>
        <w:div w:id="1783067776">
          <w:marLeft w:val="0"/>
          <w:marRight w:val="0"/>
          <w:marTop w:val="0"/>
          <w:marBottom w:val="0"/>
          <w:divBdr>
            <w:top w:val="none" w:sz="0" w:space="0" w:color="auto"/>
            <w:left w:val="none" w:sz="0" w:space="0" w:color="auto"/>
            <w:bottom w:val="none" w:sz="0" w:space="0" w:color="auto"/>
            <w:right w:val="none" w:sz="0" w:space="0" w:color="auto"/>
          </w:divBdr>
        </w:div>
        <w:div w:id="1807889186">
          <w:marLeft w:val="0"/>
          <w:marRight w:val="0"/>
          <w:marTop w:val="0"/>
          <w:marBottom w:val="0"/>
          <w:divBdr>
            <w:top w:val="none" w:sz="0" w:space="0" w:color="auto"/>
            <w:left w:val="none" w:sz="0" w:space="0" w:color="auto"/>
            <w:bottom w:val="none" w:sz="0" w:space="0" w:color="auto"/>
            <w:right w:val="none" w:sz="0" w:space="0" w:color="auto"/>
          </w:divBdr>
        </w:div>
        <w:div w:id="1049378562">
          <w:marLeft w:val="0"/>
          <w:marRight w:val="0"/>
          <w:marTop w:val="0"/>
          <w:marBottom w:val="0"/>
          <w:divBdr>
            <w:top w:val="none" w:sz="0" w:space="0" w:color="auto"/>
            <w:left w:val="none" w:sz="0" w:space="0" w:color="auto"/>
            <w:bottom w:val="none" w:sz="0" w:space="0" w:color="auto"/>
            <w:right w:val="none" w:sz="0" w:space="0" w:color="auto"/>
          </w:divBdr>
        </w:div>
      </w:divsChild>
    </w:div>
    <w:div w:id="1316104687">
      <w:bodyDiv w:val="1"/>
      <w:marLeft w:val="0"/>
      <w:marRight w:val="0"/>
      <w:marTop w:val="0"/>
      <w:marBottom w:val="0"/>
      <w:divBdr>
        <w:top w:val="none" w:sz="0" w:space="0" w:color="auto"/>
        <w:left w:val="none" w:sz="0" w:space="0" w:color="auto"/>
        <w:bottom w:val="none" w:sz="0" w:space="0" w:color="auto"/>
        <w:right w:val="none" w:sz="0" w:space="0" w:color="auto"/>
      </w:divBdr>
    </w:div>
    <w:div w:id="1456437682">
      <w:bodyDiv w:val="1"/>
      <w:marLeft w:val="0"/>
      <w:marRight w:val="0"/>
      <w:marTop w:val="0"/>
      <w:marBottom w:val="0"/>
      <w:divBdr>
        <w:top w:val="none" w:sz="0" w:space="0" w:color="auto"/>
        <w:left w:val="none" w:sz="0" w:space="0" w:color="auto"/>
        <w:bottom w:val="none" w:sz="0" w:space="0" w:color="auto"/>
        <w:right w:val="none" w:sz="0" w:space="0" w:color="auto"/>
      </w:divBdr>
    </w:div>
    <w:div w:id="1461847782">
      <w:bodyDiv w:val="1"/>
      <w:marLeft w:val="0"/>
      <w:marRight w:val="0"/>
      <w:marTop w:val="0"/>
      <w:marBottom w:val="0"/>
      <w:divBdr>
        <w:top w:val="none" w:sz="0" w:space="0" w:color="auto"/>
        <w:left w:val="none" w:sz="0" w:space="0" w:color="auto"/>
        <w:bottom w:val="none" w:sz="0" w:space="0" w:color="auto"/>
        <w:right w:val="none" w:sz="0" w:space="0" w:color="auto"/>
      </w:divBdr>
    </w:div>
    <w:div w:id="1582790783">
      <w:bodyDiv w:val="1"/>
      <w:marLeft w:val="0"/>
      <w:marRight w:val="0"/>
      <w:marTop w:val="0"/>
      <w:marBottom w:val="0"/>
      <w:divBdr>
        <w:top w:val="none" w:sz="0" w:space="0" w:color="auto"/>
        <w:left w:val="none" w:sz="0" w:space="0" w:color="auto"/>
        <w:bottom w:val="none" w:sz="0" w:space="0" w:color="auto"/>
        <w:right w:val="none" w:sz="0" w:space="0" w:color="auto"/>
      </w:divBdr>
    </w:div>
    <w:div w:id="1801337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5ECA1-8AE7-439B-B64A-9F0D74FE6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Pages>
  <Words>841</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Kose</dc:creator>
  <dc:description/>
  <cp:lastModifiedBy>Merit Aavekukk-Tamm</cp:lastModifiedBy>
  <cp:revision>29</cp:revision>
  <cp:lastPrinted>2018-01-09T06:44:00Z</cp:lastPrinted>
  <dcterms:created xsi:type="dcterms:W3CDTF">2020-03-11T11:31:00Z</dcterms:created>
  <dcterms:modified xsi:type="dcterms:W3CDTF">2020-03-11T13:07:00Z</dcterms:modified>
</cp:coreProperties>
</file>